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A188DE" w14:textId="77777777" w:rsidR="008B08A8" w:rsidRPr="008B08A8" w:rsidRDefault="008B08A8" w:rsidP="008B08A8">
      <w:pPr>
        <w:pStyle w:val="ContactLine"/>
        <w:rPr>
          <w:lang w:val="nl-NL"/>
        </w:rPr>
      </w:pPr>
    </w:p>
    <w:p w14:paraId="6D0C7B65" w14:textId="77777777" w:rsidR="008B08A8" w:rsidRPr="008B08A8" w:rsidRDefault="008B08A8" w:rsidP="008B08A8">
      <w:pPr>
        <w:pStyle w:val="ContactLine"/>
        <w:rPr>
          <w:lang w:val="nl-NL"/>
        </w:rPr>
        <w:sectPr w:rsidR="008B08A8" w:rsidRPr="008B08A8" w:rsidSect="008B08A8">
          <w:headerReference w:type="default" r:id="rId8"/>
          <w:footerReference w:type="even" r:id="rId9"/>
          <w:footerReference w:type="default" r:id="rId10"/>
          <w:headerReference w:type="first" r:id="rId11"/>
          <w:footerReference w:type="first" r:id="rId12"/>
          <w:pgSz w:w="11906" w:h="16838" w:code="9"/>
          <w:pgMar w:top="3175" w:right="850" w:bottom="1701" w:left="1984" w:header="907" w:footer="567" w:gutter="0"/>
          <w:cols w:space="708"/>
          <w:titlePg/>
          <w:docGrid w:linePitch="360"/>
        </w:sectPr>
      </w:pPr>
    </w:p>
    <w:tbl>
      <w:tblPr>
        <w:tblW w:w="5000" w:type="pct"/>
        <w:tblLayout w:type="fixed"/>
        <w:tblCellMar>
          <w:left w:w="0" w:type="dxa"/>
          <w:right w:w="0" w:type="dxa"/>
        </w:tblCellMar>
        <w:tblLook w:val="0000" w:firstRow="0" w:lastRow="0" w:firstColumn="0" w:lastColumn="0" w:noHBand="0" w:noVBand="0"/>
      </w:tblPr>
      <w:tblGrid>
        <w:gridCol w:w="8981"/>
        <w:gridCol w:w="91"/>
      </w:tblGrid>
      <w:tr w:rsidR="008B08A8" w:rsidRPr="008B08A8" w14:paraId="77983469" w14:textId="77777777" w:rsidTr="008B08A8">
        <w:tc>
          <w:tcPr>
            <w:tcW w:w="4950" w:type="pct"/>
          </w:tcPr>
          <w:tbl>
            <w:tblPr>
              <w:tblW w:w="5000" w:type="pct"/>
              <w:tblLayout w:type="fixed"/>
              <w:tblCellMar>
                <w:left w:w="0" w:type="dxa"/>
                <w:right w:w="0" w:type="dxa"/>
              </w:tblCellMar>
              <w:tblLook w:val="0000" w:firstRow="0" w:lastRow="0" w:firstColumn="0" w:lastColumn="0" w:noHBand="0" w:noVBand="0"/>
            </w:tblPr>
            <w:tblGrid>
              <w:gridCol w:w="2425"/>
              <w:gridCol w:w="6556"/>
            </w:tblGrid>
            <w:tr w:rsidR="008B08A8" w:rsidRPr="008B08A8" w14:paraId="3B82365A" w14:textId="77777777" w:rsidTr="008B08A8">
              <w:tc>
                <w:tcPr>
                  <w:tcW w:w="5000" w:type="pct"/>
                  <w:gridSpan w:val="2"/>
                </w:tcPr>
                <w:p w14:paraId="12E6CE3A" w14:textId="1E53ADD9" w:rsidR="008B08A8" w:rsidRPr="008B08A8" w:rsidRDefault="008B08A8" w:rsidP="008B08A8">
                  <w:pPr>
                    <w:pStyle w:val="Headline2"/>
                    <w:rPr>
                      <w:lang w:val="nl-NL"/>
                    </w:rPr>
                  </w:pPr>
                  <w:r>
                    <w:rPr>
                      <w:lang w:val="nl-NL"/>
                    </w:rPr>
                    <w:t>Interne notitie</w:t>
                  </w:r>
                </w:p>
              </w:tc>
            </w:tr>
            <w:tr w:rsidR="008B08A8" w:rsidRPr="008B08A8" w14:paraId="5F855254" w14:textId="77777777" w:rsidTr="008B08A8">
              <w:tc>
                <w:tcPr>
                  <w:tcW w:w="1350" w:type="pct"/>
                </w:tcPr>
                <w:p w14:paraId="0D6BE5C7" w14:textId="77777777" w:rsidR="008B08A8" w:rsidRPr="008B08A8" w:rsidRDefault="008B08A8" w:rsidP="008B08A8">
                  <w:pPr>
                    <w:pStyle w:val="ContactHeading"/>
                    <w:rPr>
                      <w:lang w:val="nl-NL"/>
                    </w:rPr>
                  </w:pPr>
                  <w:r w:rsidRPr="008B08A8">
                    <w:rPr>
                      <w:lang w:val="nl-NL"/>
                    </w:rPr>
                    <w:t>Aan:</w:t>
                  </w:r>
                </w:p>
              </w:tc>
              <w:tc>
                <w:tcPr>
                  <w:tcW w:w="3650" w:type="pct"/>
                </w:tcPr>
                <w:p w14:paraId="7F5AB6EA" w14:textId="77777777" w:rsidR="008B08A8" w:rsidRPr="008B08A8" w:rsidRDefault="008B08A8" w:rsidP="008B08A8">
                  <w:pPr>
                    <w:pStyle w:val="BodySingle"/>
                    <w:rPr>
                      <w:lang w:val="nl-NL"/>
                    </w:rPr>
                  </w:pPr>
                  <w:r w:rsidRPr="008B08A8">
                    <w:rPr>
                      <w:lang w:val="nl-NL"/>
                    </w:rPr>
                    <w:t>BU ITX</w:t>
                  </w:r>
                </w:p>
                <w:p w14:paraId="562834FB" w14:textId="77777777" w:rsidR="008B08A8" w:rsidRPr="008B08A8" w:rsidRDefault="008B08A8" w:rsidP="008B08A8">
                  <w:pPr>
                    <w:pStyle w:val="BodySingle"/>
                    <w:rPr>
                      <w:lang w:val="nl-NL"/>
                    </w:rPr>
                  </w:pPr>
                </w:p>
              </w:tc>
            </w:tr>
            <w:tr w:rsidR="008B08A8" w:rsidRPr="004949B3" w14:paraId="36B171CB" w14:textId="77777777" w:rsidTr="008B08A8">
              <w:tc>
                <w:tcPr>
                  <w:tcW w:w="1350" w:type="pct"/>
                </w:tcPr>
                <w:p w14:paraId="18B455DB" w14:textId="77777777" w:rsidR="008B08A8" w:rsidRPr="008B08A8" w:rsidRDefault="008B08A8" w:rsidP="008B08A8">
                  <w:pPr>
                    <w:pStyle w:val="ContactHeading"/>
                    <w:rPr>
                      <w:lang w:val="nl-NL"/>
                    </w:rPr>
                  </w:pPr>
                  <w:r w:rsidRPr="008B08A8">
                    <w:rPr>
                      <w:lang w:val="nl-NL"/>
                    </w:rPr>
                    <w:t>Van:</w:t>
                  </w:r>
                </w:p>
              </w:tc>
              <w:tc>
                <w:tcPr>
                  <w:tcW w:w="3650" w:type="pct"/>
                </w:tcPr>
                <w:p w14:paraId="594E7744" w14:textId="0A03FF9A" w:rsidR="008B08A8" w:rsidRPr="008B08A8" w:rsidRDefault="001F0911" w:rsidP="008B08A8">
                  <w:pPr>
                    <w:pStyle w:val="BodySingle"/>
                    <w:rPr>
                      <w:lang w:val="nl-NL"/>
                    </w:rPr>
                  </w:pPr>
                  <w:r>
                    <w:rPr>
                      <w:lang w:val="nl-NL"/>
                    </w:rPr>
                    <w:t>Herman van Kesteren &amp; Laura van Gennep</w:t>
                  </w:r>
                </w:p>
                <w:p w14:paraId="32425B33" w14:textId="77777777" w:rsidR="008B08A8" w:rsidRPr="008B08A8" w:rsidRDefault="008B08A8" w:rsidP="008B08A8">
                  <w:pPr>
                    <w:pStyle w:val="BodySingle"/>
                    <w:rPr>
                      <w:lang w:val="nl-NL"/>
                    </w:rPr>
                  </w:pPr>
                </w:p>
              </w:tc>
            </w:tr>
            <w:tr w:rsidR="008B08A8" w:rsidRPr="008B08A8" w14:paraId="5AB3F2A6" w14:textId="77777777" w:rsidTr="008B08A8">
              <w:tc>
                <w:tcPr>
                  <w:tcW w:w="1350" w:type="pct"/>
                </w:tcPr>
                <w:p w14:paraId="50675069" w14:textId="77777777" w:rsidR="008B08A8" w:rsidRPr="008B08A8" w:rsidRDefault="008B08A8" w:rsidP="008B08A8">
                  <w:pPr>
                    <w:pStyle w:val="ContactHeading"/>
                    <w:rPr>
                      <w:lang w:val="nl-NL"/>
                    </w:rPr>
                  </w:pPr>
                  <w:r w:rsidRPr="008B08A8">
                    <w:rPr>
                      <w:lang w:val="nl-NL"/>
                    </w:rPr>
                    <w:t>Datum:</w:t>
                  </w:r>
                </w:p>
              </w:tc>
              <w:tc>
                <w:tcPr>
                  <w:tcW w:w="3650" w:type="pct"/>
                </w:tcPr>
                <w:p w14:paraId="2684B9EB" w14:textId="703B12CD" w:rsidR="008B08A8" w:rsidRPr="008B08A8" w:rsidRDefault="004949B3" w:rsidP="008B08A8">
                  <w:pPr>
                    <w:pStyle w:val="BodySingle"/>
                    <w:rPr>
                      <w:lang w:val="nl-NL"/>
                    </w:rPr>
                  </w:pPr>
                  <w:r>
                    <w:rPr>
                      <w:lang w:val="nl-NL"/>
                    </w:rPr>
                    <w:t xml:space="preserve">4 maart </w:t>
                  </w:r>
                  <w:r w:rsidR="00F80F23">
                    <w:rPr>
                      <w:lang w:val="nl-NL"/>
                    </w:rPr>
                    <w:t>2022</w:t>
                  </w:r>
                </w:p>
                <w:p w14:paraId="4CDD23D1" w14:textId="77777777" w:rsidR="008B08A8" w:rsidRPr="008B08A8" w:rsidRDefault="008B08A8" w:rsidP="008B08A8">
                  <w:pPr>
                    <w:pStyle w:val="BodySingle"/>
                    <w:rPr>
                      <w:lang w:val="nl-NL"/>
                    </w:rPr>
                  </w:pPr>
                </w:p>
              </w:tc>
            </w:tr>
          </w:tbl>
          <w:p w14:paraId="4470AF75" w14:textId="77777777" w:rsidR="008B08A8" w:rsidRPr="008B08A8" w:rsidRDefault="008B08A8" w:rsidP="008B08A8">
            <w:pPr>
              <w:pStyle w:val="ContactLine"/>
              <w:pBdr>
                <w:bottom w:val="none" w:sz="0" w:space="0" w:color="auto"/>
              </w:pBdr>
              <w:ind w:left="0"/>
              <w:rPr>
                <w:lang w:val="nl-NL"/>
              </w:rPr>
            </w:pPr>
          </w:p>
        </w:tc>
        <w:tc>
          <w:tcPr>
            <w:tcW w:w="50" w:type="pct"/>
          </w:tcPr>
          <w:p w14:paraId="3207FD96" w14:textId="77777777" w:rsidR="008B08A8" w:rsidRPr="008B08A8" w:rsidRDefault="008B08A8" w:rsidP="008B08A8">
            <w:pPr>
              <w:pStyle w:val="Spacing295mm"/>
              <w:rPr>
                <w:lang w:val="nl-NL"/>
              </w:rPr>
            </w:pPr>
          </w:p>
        </w:tc>
      </w:tr>
    </w:tbl>
    <w:p w14:paraId="251FA6F1" w14:textId="77777777" w:rsidR="008B08A8" w:rsidRPr="008B08A8" w:rsidRDefault="008B08A8" w:rsidP="008B08A8">
      <w:pPr>
        <w:pStyle w:val="ContactLine"/>
        <w:rPr>
          <w:lang w:val="nl-NL"/>
        </w:rPr>
      </w:pPr>
    </w:p>
    <w:p w14:paraId="4A543CB3" w14:textId="77777777" w:rsidR="008B08A8" w:rsidRPr="008B08A8" w:rsidRDefault="008B08A8" w:rsidP="008B08A8">
      <w:pPr>
        <w:pStyle w:val="BodySingle"/>
        <w:rPr>
          <w:lang w:val="nl-NL"/>
        </w:rPr>
      </w:pPr>
    </w:p>
    <w:p w14:paraId="74AA9A88" w14:textId="77777777" w:rsidR="008B08A8" w:rsidRPr="008B08A8" w:rsidRDefault="008B08A8" w:rsidP="008B08A8">
      <w:pPr>
        <w:pStyle w:val="Spacing1mm"/>
        <w:rPr>
          <w:lang w:val="nl-NL"/>
        </w:rPr>
      </w:pPr>
    </w:p>
    <w:tbl>
      <w:tblPr>
        <w:tblW w:w="5000" w:type="pct"/>
        <w:tblLayout w:type="fixed"/>
        <w:tblCellMar>
          <w:left w:w="0" w:type="dxa"/>
          <w:right w:w="0" w:type="dxa"/>
        </w:tblCellMar>
        <w:tblLook w:val="0000" w:firstRow="0" w:lastRow="0" w:firstColumn="0" w:lastColumn="0" w:noHBand="0" w:noVBand="0"/>
      </w:tblPr>
      <w:tblGrid>
        <w:gridCol w:w="1089"/>
        <w:gridCol w:w="7983"/>
      </w:tblGrid>
      <w:tr w:rsidR="00483734" w:rsidRPr="004949B3" w14:paraId="1A2B1326" w14:textId="77777777" w:rsidTr="00011F76">
        <w:tc>
          <w:tcPr>
            <w:tcW w:w="600" w:type="pct"/>
          </w:tcPr>
          <w:p w14:paraId="1467AC6A" w14:textId="77777777" w:rsidR="00483734" w:rsidRPr="00483734" w:rsidRDefault="00483734" w:rsidP="00483734">
            <w:pPr>
              <w:pStyle w:val="BodyText"/>
              <w:rPr>
                <w:b/>
                <w:i/>
                <w:lang w:val="nl-NL"/>
              </w:rPr>
            </w:pPr>
            <w:r w:rsidRPr="00483734">
              <w:rPr>
                <w:b/>
                <w:i/>
                <w:lang w:val="nl-NL"/>
              </w:rPr>
              <w:t>Betreft:</w:t>
            </w:r>
          </w:p>
        </w:tc>
        <w:tc>
          <w:tcPr>
            <w:tcW w:w="4400" w:type="pct"/>
          </w:tcPr>
          <w:p w14:paraId="684E2D41" w14:textId="4AEA8967" w:rsidR="00483734" w:rsidRPr="00483734" w:rsidRDefault="00483734" w:rsidP="00483734">
            <w:pPr>
              <w:pStyle w:val="BodyText"/>
              <w:rPr>
                <w:b/>
                <w:i/>
                <w:lang w:val="nl-NL"/>
              </w:rPr>
            </w:pPr>
            <w:r w:rsidRPr="00483734">
              <w:rPr>
                <w:b/>
                <w:i/>
                <w:lang w:val="nl-NL"/>
              </w:rPr>
              <w:t xml:space="preserve">Interne notitie </w:t>
            </w:r>
            <w:proofErr w:type="spellStart"/>
            <w:r w:rsidRPr="00483734">
              <w:rPr>
                <w:b/>
                <w:i/>
                <w:lang w:val="nl-NL"/>
              </w:rPr>
              <w:t>n.a.v</w:t>
            </w:r>
            <w:proofErr w:type="spellEnd"/>
            <w:r w:rsidRPr="00483734">
              <w:rPr>
                <w:b/>
                <w:i/>
                <w:lang w:val="nl-NL"/>
              </w:rPr>
              <w:t xml:space="preserve"> uitspraak Gerechtshof Amsterdam </w:t>
            </w:r>
            <w:r w:rsidR="003C6BA4">
              <w:rPr>
                <w:b/>
                <w:i/>
                <w:lang w:val="nl-NL"/>
              </w:rPr>
              <w:t>van</w:t>
            </w:r>
            <w:r w:rsidRPr="00483734">
              <w:rPr>
                <w:b/>
                <w:i/>
                <w:lang w:val="nl-NL"/>
              </w:rPr>
              <w:t xml:space="preserve"> 14 september 2021 (zaaknummer 19/01235)</w:t>
            </w:r>
          </w:p>
        </w:tc>
      </w:tr>
    </w:tbl>
    <w:p w14:paraId="7B7F9BBF" w14:textId="250B9FED" w:rsidR="00483734" w:rsidRPr="00483734" w:rsidRDefault="00483734" w:rsidP="00483734">
      <w:pPr>
        <w:pStyle w:val="BodyText"/>
        <w:rPr>
          <w:lang w:val="nl-NL"/>
        </w:rPr>
      </w:pPr>
      <w:r w:rsidRPr="00483734">
        <w:rPr>
          <w:lang w:val="nl-NL"/>
        </w:rPr>
        <w:t xml:space="preserve">Enige tijd geleden heeft het Gerechtshof Amsterdam een opvallende </w:t>
      </w:r>
      <w:hyperlink r:id="rId13" w:history="1">
        <w:r w:rsidRPr="00483734">
          <w:rPr>
            <w:rStyle w:val="Hyperlink"/>
            <w:lang w:val="nl-NL"/>
          </w:rPr>
          <w:t>uitsp</w:t>
        </w:r>
        <w:r w:rsidRPr="00483734">
          <w:rPr>
            <w:rStyle w:val="Hyperlink"/>
            <w:lang w:val="nl-NL"/>
          </w:rPr>
          <w:t>r</w:t>
        </w:r>
        <w:r w:rsidRPr="00483734">
          <w:rPr>
            <w:rStyle w:val="Hyperlink"/>
            <w:lang w:val="nl-NL"/>
          </w:rPr>
          <w:t>aak</w:t>
        </w:r>
      </w:hyperlink>
      <w:r w:rsidRPr="00483734">
        <w:rPr>
          <w:lang w:val="nl-NL"/>
        </w:rPr>
        <w:t xml:space="preserve"> gedaan in de zaak X BV (gepubliceerd op 6 oktober 2021). </w:t>
      </w:r>
      <w:r w:rsidR="003C6BA4">
        <w:rPr>
          <w:lang w:val="nl-NL"/>
        </w:rPr>
        <w:t>In eerste instantie is door belanghebbende op 22 oktober 2021 beroep in cassatie ingesteld, maar deze is op een later moment ingetrokken. Dat maakt</w:t>
      </w:r>
      <w:r w:rsidRPr="00483734">
        <w:rPr>
          <w:lang w:val="nl-NL"/>
        </w:rPr>
        <w:t xml:space="preserve"> de onderhavige zaak direct relevant voor de praktijk</w:t>
      </w:r>
      <w:r w:rsidR="003C6BA4">
        <w:rPr>
          <w:lang w:val="nl-NL"/>
        </w:rPr>
        <w:t xml:space="preserve">. </w:t>
      </w:r>
      <w:r w:rsidR="00F5209A">
        <w:rPr>
          <w:lang w:val="nl-NL"/>
        </w:rPr>
        <w:t xml:space="preserve">Ook hebben wij in de PE VTO aandacht besteed aan deze zaak wat heeft geleid tot nogal wat discussie. </w:t>
      </w:r>
      <w:r w:rsidR="003C6BA4">
        <w:rPr>
          <w:lang w:val="nl-NL"/>
        </w:rPr>
        <w:t>Wat ons betreft r</w:t>
      </w:r>
      <w:r w:rsidRPr="00483734">
        <w:rPr>
          <w:lang w:val="nl-NL"/>
        </w:rPr>
        <w:t>eden genoeg om de zaak aan een nadere analyse te onderwerpen. We schetsen hieronder eerst de relevante feiten en omstandigheden van de zaak, waarna we kort het oordeel van de rechtbank en het hof bespreken. We sluiten af met een analyse van de fiscaaltechnische elementen uit de zaak.</w:t>
      </w:r>
      <w:r w:rsidR="00F5209A">
        <w:rPr>
          <w:lang w:val="nl-NL"/>
        </w:rPr>
        <w:t xml:space="preserve"> De analyse is iets langer geworden dan voorzien, maar we hebben ervoor gekozen om alle denkbare aspecten van de zaak nader uit te werken om jullie na alle gevoerde discussies een overzicht te bieden van alle rechtsvragen die in deze zaak spelen. </w:t>
      </w:r>
    </w:p>
    <w:p w14:paraId="6986D8BF" w14:textId="2ACDAAF0" w:rsidR="00483734" w:rsidRPr="00483734" w:rsidRDefault="00483734" w:rsidP="00483734">
      <w:pPr>
        <w:pStyle w:val="BodyText"/>
        <w:numPr>
          <w:ilvl w:val="0"/>
          <w:numId w:val="11"/>
        </w:numPr>
        <w:rPr>
          <w:b/>
          <w:bCs/>
          <w:i/>
          <w:lang w:val="nl-NL"/>
        </w:rPr>
      </w:pPr>
      <w:r w:rsidRPr="00483734">
        <w:rPr>
          <w:b/>
          <w:bCs/>
          <w:i/>
          <w:lang w:val="nl-NL"/>
        </w:rPr>
        <w:t>Feiten en omstandigheden</w:t>
      </w:r>
    </w:p>
    <w:p w14:paraId="7535FE43" w14:textId="77777777" w:rsidR="00483734" w:rsidRPr="00483734" w:rsidRDefault="00483734" w:rsidP="00483734">
      <w:pPr>
        <w:pStyle w:val="BodyText"/>
        <w:numPr>
          <w:ilvl w:val="0"/>
          <w:numId w:val="22"/>
        </w:numPr>
        <w:rPr>
          <w:lang w:val="nl-NL"/>
        </w:rPr>
      </w:pPr>
      <w:r w:rsidRPr="00483734">
        <w:rPr>
          <w:lang w:val="nl-NL"/>
        </w:rPr>
        <w:t>Op 3 december 2013 wordt X BV opgericht door enig aandeelhouder Stichting X. De activiteiten van X BV bestaan onder andere uit het lenen, uitlenen en het bijeenbrengen van kapitaal inclusief het uitgeven van obligaties.</w:t>
      </w:r>
    </w:p>
    <w:p w14:paraId="3368393E" w14:textId="77777777" w:rsidR="00483734" w:rsidRPr="00483734" w:rsidRDefault="00483734" w:rsidP="00483734">
      <w:pPr>
        <w:pStyle w:val="BodyText"/>
        <w:numPr>
          <w:ilvl w:val="0"/>
          <w:numId w:val="22"/>
        </w:numPr>
        <w:rPr>
          <w:lang w:val="nl-NL"/>
        </w:rPr>
      </w:pPr>
      <w:r w:rsidRPr="00483734">
        <w:rPr>
          <w:lang w:val="nl-NL"/>
        </w:rPr>
        <w:t xml:space="preserve">Stichting X en X BV zijn opgericht in verband met de herfinanciering van de activiteiten van het Spaanse A SA en vervreemding van een deel van het belang in deze entiteit. De aandelen in A SA worden voor 100% gehouden door A </w:t>
      </w:r>
      <w:proofErr w:type="spellStart"/>
      <w:r w:rsidRPr="00483734">
        <w:rPr>
          <w:lang w:val="nl-NL"/>
        </w:rPr>
        <w:t>Holdco</w:t>
      </w:r>
      <w:proofErr w:type="spellEnd"/>
      <w:r w:rsidRPr="00483734">
        <w:rPr>
          <w:lang w:val="nl-NL"/>
        </w:rPr>
        <w:t xml:space="preserve"> SL en zijn indirect in eigendom van een Engels private </w:t>
      </w:r>
      <w:proofErr w:type="spellStart"/>
      <w:r w:rsidRPr="00483734">
        <w:rPr>
          <w:lang w:val="nl-NL"/>
        </w:rPr>
        <w:t>equity</w:t>
      </w:r>
      <w:proofErr w:type="spellEnd"/>
      <w:r w:rsidRPr="00483734">
        <w:rPr>
          <w:lang w:val="nl-NL"/>
        </w:rPr>
        <w:t xml:space="preserve"> fonds. Per 29 november 2013 is 49,99% van het (indirecte) belang in A SA verkocht aan een joint venture partner. Voor de herfinanciering is gekozen voor een zogenoemde ‘</w:t>
      </w:r>
      <w:proofErr w:type="spellStart"/>
      <w:r w:rsidRPr="00483734">
        <w:rPr>
          <w:i/>
          <w:iCs/>
          <w:lang w:val="nl-NL"/>
        </w:rPr>
        <w:t>orphan</w:t>
      </w:r>
      <w:proofErr w:type="spellEnd"/>
      <w:r w:rsidRPr="00483734">
        <w:rPr>
          <w:i/>
          <w:iCs/>
          <w:lang w:val="nl-NL"/>
        </w:rPr>
        <w:t xml:space="preserve"> </w:t>
      </w:r>
      <w:proofErr w:type="spellStart"/>
      <w:r w:rsidRPr="00483734">
        <w:rPr>
          <w:i/>
          <w:iCs/>
          <w:lang w:val="nl-NL"/>
        </w:rPr>
        <w:t>financing</w:t>
      </w:r>
      <w:proofErr w:type="spellEnd"/>
      <w:r w:rsidRPr="00483734">
        <w:rPr>
          <w:i/>
          <w:iCs/>
          <w:lang w:val="nl-NL"/>
        </w:rPr>
        <w:t xml:space="preserve"> </w:t>
      </w:r>
      <w:proofErr w:type="spellStart"/>
      <w:r w:rsidRPr="00483734">
        <w:rPr>
          <w:i/>
          <w:iCs/>
          <w:lang w:val="nl-NL"/>
        </w:rPr>
        <w:t>structure</w:t>
      </w:r>
      <w:proofErr w:type="spellEnd"/>
      <w:r w:rsidRPr="00483734">
        <w:rPr>
          <w:i/>
          <w:iCs/>
          <w:lang w:val="nl-NL"/>
        </w:rPr>
        <w:t>’</w:t>
      </w:r>
      <w:r w:rsidRPr="00483734">
        <w:rPr>
          <w:i/>
          <w:iCs/>
          <w:vertAlign w:val="superscript"/>
          <w:lang w:val="nl-NL"/>
        </w:rPr>
        <w:footnoteReference w:id="1"/>
      </w:r>
      <w:r w:rsidRPr="00483734">
        <w:rPr>
          <w:lang w:val="nl-NL"/>
        </w:rPr>
        <w:t xml:space="preserve">. Het bestuur van Stichting X en X BV wordt gevoerd door een trustkantoor. De Spaans/Engelse groep heeft derhalve geen belang bij de aandelen in X BV. </w:t>
      </w:r>
    </w:p>
    <w:p w14:paraId="4068BE63" w14:textId="77777777" w:rsidR="00483734" w:rsidRPr="00483734" w:rsidRDefault="00483734" w:rsidP="00483734">
      <w:pPr>
        <w:pStyle w:val="BodyText"/>
        <w:numPr>
          <w:ilvl w:val="0"/>
          <w:numId w:val="22"/>
        </w:numPr>
        <w:rPr>
          <w:lang w:val="nl-NL"/>
        </w:rPr>
      </w:pPr>
      <w:r w:rsidRPr="00483734">
        <w:rPr>
          <w:lang w:val="nl-NL"/>
        </w:rPr>
        <w:lastRenderedPageBreak/>
        <w:t xml:space="preserve">Na de verkoop van de aandelen heeft X BV op 12 december 2013 nominaal 420 miljoen aan obligaties uitgegeven. Het bedrag wordt door X BV doorgeleend aan A </w:t>
      </w:r>
      <w:proofErr w:type="spellStart"/>
      <w:r w:rsidRPr="00483734">
        <w:rPr>
          <w:lang w:val="nl-NL"/>
        </w:rPr>
        <w:t>Holdco</w:t>
      </w:r>
      <w:proofErr w:type="spellEnd"/>
      <w:r w:rsidRPr="00483734">
        <w:rPr>
          <w:lang w:val="nl-NL"/>
        </w:rPr>
        <w:t xml:space="preserve"> SL.</w:t>
      </w:r>
    </w:p>
    <w:p w14:paraId="0D5CC505" w14:textId="77777777" w:rsidR="00483734" w:rsidRPr="00483734" w:rsidRDefault="00483734" w:rsidP="00483734">
      <w:pPr>
        <w:pStyle w:val="BodyText"/>
        <w:numPr>
          <w:ilvl w:val="0"/>
          <w:numId w:val="22"/>
        </w:numPr>
        <w:rPr>
          <w:lang w:val="nl-NL"/>
        </w:rPr>
      </w:pPr>
      <w:r w:rsidRPr="00483734">
        <w:rPr>
          <w:lang w:val="nl-NL"/>
        </w:rPr>
        <w:t>Het herfinancieringsproject omvatte niet alleen een uitgifte van obligaties, maar ook het afsluiten van een ‘</w:t>
      </w:r>
      <w:proofErr w:type="spellStart"/>
      <w:r w:rsidRPr="00483734">
        <w:rPr>
          <w:i/>
          <w:iCs/>
          <w:lang w:val="nl-NL"/>
        </w:rPr>
        <w:t>revolving</w:t>
      </w:r>
      <w:proofErr w:type="spellEnd"/>
      <w:r w:rsidRPr="00483734">
        <w:rPr>
          <w:i/>
          <w:iCs/>
          <w:lang w:val="nl-NL"/>
        </w:rPr>
        <w:t xml:space="preserve"> credit facility’</w:t>
      </w:r>
      <w:r w:rsidRPr="00483734">
        <w:rPr>
          <w:lang w:val="nl-NL"/>
        </w:rPr>
        <w:t xml:space="preserve"> bij een bank. Deze kredietfaciliteit is verkregen door A </w:t>
      </w:r>
      <w:proofErr w:type="spellStart"/>
      <w:r w:rsidRPr="00483734">
        <w:rPr>
          <w:lang w:val="nl-NL"/>
        </w:rPr>
        <w:t>Holdco</w:t>
      </w:r>
      <w:proofErr w:type="spellEnd"/>
      <w:r w:rsidRPr="00483734">
        <w:rPr>
          <w:lang w:val="nl-NL"/>
        </w:rPr>
        <w:t xml:space="preserve"> SL gelijktijdig met de uitgifte van de obligaties.</w:t>
      </w:r>
    </w:p>
    <w:p w14:paraId="3AFEF741" w14:textId="77777777" w:rsidR="00483734" w:rsidRPr="00483734" w:rsidRDefault="00483734" w:rsidP="00483734">
      <w:pPr>
        <w:pStyle w:val="BodyText"/>
        <w:numPr>
          <w:ilvl w:val="0"/>
          <w:numId w:val="22"/>
        </w:numPr>
        <w:rPr>
          <w:lang w:val="nl-NL"/>
        </w:rPr>
      </w:pPr>
      <w:r w:rsidRPr="00483734">
        <w:rPr>
          <w:lang w:val="nl-NL"/>
        </w:rPr>
        <w:t xml:space="preserve">In het kader van de herfinanciering zijn (advies)diensten ingekocht van dienstverleners gevestigd in Nederland, binnen en buiten Europa (in totaal EUR 4.727.015,75). De overeenkomsten met deze dienstverleners zijn in eerste instantie met A SA afgesloten omdat X BV destijds nog niet was opgericht. Er wordt onder andere een </w:t>
      </w:r>
      <w:proofErr w:type="spellStart"/>
      <w:r w:rsidRPr="00483734">
        <w:rPr>
          <w:i/>
          <w:iCs/>
          <w:lang w:val="nl-NL"/>
        </w:rPr>
        <w:t>offering</w:t>
      </w:r>
      <w:proofErr w:type="spellEnd"/>
      <w:r w:rsidRPr="00483734">
        <w:rPr>
          <w:i/>
          <w:iCs/>
          <w:lang w:val="nl-NL"/>
        </w:rPr>
        <w:t xml:space="preserve"> memorandum </w:t>
      </w:r>
      <w:r w:rsidRPr="00483734">
        <w:rPr>
          <w:lang w:val="nl-NL"/>
        </w:rPr>
        <w:t xml:space="preserve">opgesteld en uitgegeven op 12 december 2013, waarbij X BV op het document wordt vermeld. Voor de verrichtte diensten hebben de dienstverleners facturen uitgereikt op naam van X BV en X BV heeft deze facturen ook betaald. Op basis van een Fee arrangement die X BV heeft afgesloten met A </w:t>
      </w:r>
      <w:proofErr w:type="spellStart"/>
      <w:r w:rsidRPr="00483734">
        <w:rPr>
          <w:lang w:val="nl-NL"/>
        </w:rPr>
        <w:t>Holdco</w:t>
      </w:r>
      <w:proofErr w:type="spellEnd"/>
      <w:r w:rsidRPr="00483734">
        <w:rPr>
          <w:lang w:val="nl-NL"/>
        </w:rPr>
        <w:t xml:space="preserve"> SL, belast X BV de gemaakte kosten vervolgens volledig door middels het uitreiken van facturen aan A </w:t>
      </w:r>
      <w:proofErr w:type="spellStart"/>
      <w:r w:rsidRPr="00483734">
        <w:rPr>
          <w:lang w:val="nl-NL"/>
        </w:rPr>
        <w:t>Holco</w:t>
      </w:r>
      <w:proofErr w:type="spellEnd"/>
      <w:r w:rsidRPr="00483734">
        <w:rPr>
          <w:lang w:val="nl-NL"/>
        </w:rPr>
        <w:t xml:space="preserve"> SL.</w:t>
      </w:r>
    </w:p>
    <w:p w14:paraId="6260596B" w14:textId="77777777" w:rsidR="00483734" w:rsidRPr="00483734" w:rsidRDefault="00483734" w:rsidP="00483734">
      <w:pPr>
        <w:pStyle w:val="BodyText"/>
        <w:numPr>
          <w:ilvl w:val="0"/>
          <w:numId w:val="22"/>
        </w:numPr>
        <w:rPr>
          <w:lang w:val="nl-NL"/>
        </w:rPr>
      </w:pPr>
      <w:r w:rsidRPr="00483734">
        <w:rPr>
          <w:lang w:val="nl-NL"/>
        </w:rPr>
        <w:t>Naar aanleiding van de door Europese dienstverleners opgegeven intracommunautaire prestaties (‘</w:t>
      </w:r>
      <w:proofErr w:type="spellStart"/>
      <w:r w:rsidRPr="00483734">
        <w:rPr>
          <w:lang w:val="nl-NL"/>
        </w:rPr>
        <w:t>listing</w:t>
      </w:r>
      <w:proofErr w:type="spellEnd"/>
      <w:r w:rsidRPr="00483734">
        <w:rPr>
          <w:lang w:val="nl-NL"/>
        </w:rPr>
        <w:t>’) aan X BV verzoekt de inspecteur om gegevens te verstrekken. X BV dient naar aanleiding daarvan btw-aangiften in over tijdvakken in 2013 en 2014, rapporteert de ingekochte diensten en brengt in totaal EUR 432.955 aan voorbelasting in aftrek. Er wordt door de fiscus echter geen teruggaaf verleend maar een naheffingsaanslag omzetbelasting opgelegd.</w:t>
      </w:r>
    </w:p>
    <w:p w14:paraId="255351CA" w14:textId="77777777" w:rsidR="00483734" w:rsidRPr="00483734" w:rsidRDefault="00483734" w:rsidP="00483734">
      <w:pPr>
        <w:pStyle w:val="BodyText"/>
        <w:rPr>
          <w:lang w:val="nl-NL"/>
        </w:rPr>
      </w:pPr>
      <w:r w:rsidRPr="00483734">
        <w:rPr>
          <w:lang w:val="nl-NL"/>
        </w:rPr>
        <w:t>Zie hieronder een visuele weergaven van de hierboven omschreven feiten en omstandigheden:</w:t>
      </w:r>
    </w:p>
    <w:p w14:paraId="087565CA" w14:textId="77777777" w:rsidR="00483734" w:rsidRPr="00483734" w:rsidRDefault="00483734" w:rsidP="00483734">
      <w:pPr>
        <w:pStyle w:val="BodyText"/>
        <w:rPr>
          <w:lang w:val="nl-NL"/>
        </w:rPr>
      </w:pPr>
      <w:r w:rsidRPr="00483734">
        <w:rPr>
          <w:noProof/>
        </w:rPr>
        <w:drawing>
          <wp:inline distT="0" distB="0" distL="0" distR="0" wp14:anchorId="13A3E24B" wp14:editId="112D0687">
            <wp:extent cx="5254702" cy="2501660"/>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293788" cy="2520268"/>
                    </a:xfrm>
                    <a:prstGeom prst="rect">
                      <a:avLst/>
                    </a:prstGeom>
                  </pic:spPr>
                </pic:pic>
              </a:graphicData>
            </a:graphic>
          </wp:inline>
        </w:drawing>
      </w:r>
    </w:p>
    <w:p w14:paraId="1ACE9ABA" w14:textId="77777777" w:rsidR="00483734" w:rsidRPr="00483734" w:rsidRDefault="00483734" w:rsidP="00483734">
      <w:pPr>
        <w:pStyle w:val="BodyText"/>
        <w:rPr>
          <w:lang w:val="nl-NL"/>
        </w:rPr>
      </w:pPr>
    </w:p>
    <w:p w14:paraId="031288B9" w14:textId="77777777" w:rsidR="00483734" w:rsidRPr="00483734" w:rsidRDefault="00483734" w:rsidP="00483734">
      <w:pPr>
        <w:pStyle w:val="BodyText"/>
        <w:numPr>
          <w:ilvl w:val="0"/>
          <w:numId w:val="11"/>
        </w:numPr>
        <w:rPr>
          <w:b/>
          <w:bCs/>
          <w:i/>
          <w:lang w:val="nl-NL"/>
        </w:rPr>
      </w:pPr>
      <w:r w:rsidRPr="00483734">
        <w:rPr>
          <w:b/>
          <w:bCs/>
          <w:i/>
          <w:lang w:val="nl-NL"/>
        </w:rPr>
        <w:t xml:space="preserve">Oordeel rechtbank en hof </w:t>
      </w:r>
    </w:p>
    <w:p w14:paraId="7913C8B1" w14:textId="2F2389A9" w:rsidR="00483734" w:rsidRPr="00483734" w:rsidRDefault="00483734" w:rsidP="00483734">
      <w:pPr>
        <w:pStyle w:val="BodyText"/>
        <w:rPr>
          <w:lang w:val="nl-NL"/>
        </w:rPr>
      </w:pPr>
      <w:r w:rsidRPr="00483734">
        <w:rPr>
          <w:lang w:val="nl-NL"/>
        </w:rPr>
        <w:t xml:space="preserve">Het geschil dat voor ligt bij de rechtbank en later bij het hof, is of X BV de afnemer is van de diensten die zijn verricht door de diverse dienstverleners. Daarnaast is de vraag of X BV recht heeft op aftrek </w:t>
      </w:r>
      <w:r w:rsidRPr="00483734">
        <w:rPr>
          <w:lang w:val="nl-NL"/>
        </w:rPr>
        <w:lastRenderedPageBreak/>
        <w:t xml:space="preserve">van voorbelasting die zij op grond van de verleggingsregeling is verschuldigd (dit vraagstuk ziet derhalve alleen op de dienstverrichters die buiten Nederland zijn gevestigd) en, afhankelijk van het antwoord op voornoemde vraag, of de naheffingsaanslag aldus terecht is opgelegd aan X BV en tot het juiste bedrag. </w:t>
      </w:r>
    </w:p>
    <w:p w14:paraId="070723F2" w14:textId="77777777" w:rsidR="00483734" w:rsidRPr="00483734" w:rsidRDefault="00483734" w:rsidP="00483734">
      <w:pPr>
        <w:pStyle w:val="BodyText"/>
        <w:rPr>
          <w:lang w:val="nl-NL"/>
        </w:rPr>
      </w:pPr>
      <w:r w:rsidRPr="00483734">
        <w:rPr>
          <w:i/>
          <w:iCs/>
          <w:lang w:val="nl-NL"/>
        </w:rPr>
        <w:t>Oordeel rechtbank</w:t>
      </w:r>
    </w:p>
    <w:p w14:paraId="37FAA5D9" w14:textId="77777777" w:rsidR="00483734" w:rsidRPr="00483734" w:rsidRDefault="00483734" w:rsidP="00483734">
      <w:pPr>
        <w:pStyle w:val="BodyText"/>
        <w:rPr>
          <w:lang w:val="nl-NL"/>
        </w:rPr>
      </w:pPr>
      <w:r w:rsidRPr="00483734">
        <w:rPr>
          <w:lang w:val="nl-NL"/>
        </w:rPr>
        <w:t xml:space="preserve">De rechtbank oordeelde kortgezegd dat X BV als afnemer van de diensten moet worden aangemerkt. Volgens de rechtbank is het aannemelijk dat (uiteindelijk) een rechtsbetrekking is ontstaan, gelet op het feit dat de facturen aan X BV op haar naam zijn uitgereikt en zij de facturen heeft voldaan. Daarnaast oordeelt de rechtbank dat X BV geen recht heeft op aftrek van voorbelasting omdat de diensten niet zijn gebruikt voor de belaste handelingen van X BV. </w:t>
      </w:r>
    </w:p>
    <w:p w14:paraId="25B952BF" w14:textId="77777777" w:rsidR="00483734" w:rsidRPr="00483734" w:rsidRDefault="00483734" w:rsidP="00483734">
      <w:pPr>
        <w:pStyle w:val="BodyText"/>
        <w:rPr>
          <w:i/>
          <w:iCs/>
          <w:lang w:val="nl-NL"/>
        </w:rPr>
      </w:pPr>
      <w:r w:rsidRPr="00483734">
        <w:rPr>
          <w:i/>
          <w:iCs/>
          <w:lang w:val="nl-NL"/>
        </w:rPr>
        <w:t>Oordeel hof</w:t>
      </w:r>
    </w:p>
    <w:p w14:paraId="51A825DA" w14:textId="77777777" w:rsidR="00483734" w:rsidRPr="00483734" w:rsidRDefault="00483734" w:rsidP="00483734">
      <w:pPr>
        <w:pStyle w:val="BodyText"/>
        <w:rPr>
          <w:lang w:val="nl-NL"/>
        </w:rPr>
      </w:pPr>
      <w:r w:rsidRPr="00483734">
        <w:rPr>
          <w:lang w:val="nl-NL"/>
        </w:rPr>
        <w:t>Het hof acht het niet bewezen dat X BV afnemer is van de prestaties (standpunt inspecteur) waarvoor de betreffende dienstverrichters facturen hebben uitgereikt op haar naam. X BV kan derhalve geen omzetbelasting verschuldigd zijn op basis van de verleggingsregeling. Het hof acht het hierbij overigens niet van doorslaggevende betekenis dat A SA in eerste instantie de opdracht tot het verrichten van diensten heeft verstrekt, c.q. de rechtsbetrekking is aangegaan, maar geeft aan dat X BV afnemer van de dienst kan zijn geworden door in de plaats van die ander (A SA) te treden, mits dit is geschied uiterlijk op het tijdstip waarop de dienst is verricht (</w:t>
      </w:r>
      <w:proofErr w:type="spellStart"/>
      <w:r w:rsidRPr="00483734">
        <w:rPr>
          <w:lang w:val="nl-NL"/>
        </w:rPr>
        <w:t>r.o.</w:t>
      </w:r>
      <w:proofErr w:type="spellEnd"/>
      <w:r w:rsidRPr="00483734">
        <w:rPr>
          <w:lang w:val="nl-NL"/>
        </w:rPr>
        <w:t xml:space="preserve"> 5.2.). Dit standpunt wordt echter niet overtuigend bewezen door de inspecteur. </w:t>
      </w:r>
    </w:p>
    <w:p w14:paraId="3AC10C70" w14:textId="77777777" w:rsidR="00483734" w:rsidRPr="00483734" w:rsidRDefault="00483734" w:rsidP="00483734">
      <w:pPr>
        <w:pStyle w:val="BodyText"/>
        <w:rPr>
          <w:lang w:val="nl-NL"/>
        </w:rPr>
      </w:pPr>
      <w:r w:rsidRPr="00483734">
        <w:rPr>
          <w:lang w:val="nl-NL"/>
        </w:rPr>
        <w:t>Voorts interpreteert het hof het betoog van de inspecteur - dat sprake is van een aan-en door dienstverlening - aldus dat X BV één of meerdere diensten van A SA heeft afgenomen en in ruil daarvoor de vergoedingen aan de dienstverleners heeft betaald (</w:t>
      </w:r>
      <w:proofErr w:type="spellStart"/>
      <w:r w:rsidRPr="00483734">
        <w:rPr>
          <w:lang w:val="nl-NL"/>
        </w:rPr>
        <w:t>r.o.</w:t>
      </w:r>
      <w:proofErr w:type="spellEnd"/>
      <w:r w:rsidRPr="00483734">
        <w:rPr>
          <w:lang w:val="nl-NL"/>
        </w:rPr>
        <w:t xml:space="preserve"> 5.10). X BV is dan alsnog op grond van de verleggingsregeling omzetbelasting verschuldigd, omdat de plaats van dienst is verlegd van A SA in Spanje naar X BV in Nederland. X BV zou namelijk een voordeel hebben verkregen bij de voorbereiding van de herfinancieringsoperatie en van de diensten die de dienstverleners in dat kader hebben verricht. Deze diensten (zoals bijvoorbeeld de verspreiding van het </w:t>
      </w:r>
      <w:proofErr w:type="spellStart"/>
      <w:r w:rsidRPr="00483734">
        <w:rPr>
          <w:i/>
          <w:iCs/>
          <w:lang w:val="nl-NL"/>
        </w:rPr>
        <w:t>offering</w:t>
      </w:r>
      <w:proofErr w:type="spellEnd"/>
      <w:r w:rsidRPr="00483734">
        <w:rPr>
          <w:i/>
          <w:iCs/>
          <w:lang w:val="nl-NL"/>
        </w:rPr>
        <w:t xml:space="preserve"> memorandum</w:t>
      </w:r>
      <w:r w:rsidRPr="00483734">
        <w:rPr>
          <w:lang w:val="nl-NL"/>
        </w:rPr>
        <w:t xml:space="preserve">) waren noodzakelijk om de obligaties te kunnen uitgeven en vervolgens de rentedragende lening te kunnen verstrekken. </w:t>
      </w:r>
    </w:p>
    <w:p w14:paraId="1B070247" w14:textId="77777777" w:rsidR="00483734" w:rsidRPr="00483734" w:rsidRDefault="00483734" w:rsidP="00483734">
      <w:pPr>
        <w:pStyle w:val="BodyText"/>
        <w:rPr>
          <w:lang w:val="nl-NL"/>
        </w:rPr>
      </w:pPr>
      <w:r w:rsidRPr="00483734">
        <w:rPr>
          <w:lang w:val="nl-NL"/>
        </w:rPr>
        <w:t>De vraag die vervolgens opkomt (</w:t>
      </w:r>
      <w:proofErr w:type="spellStart"/>
      <w:r w:rsidRPr="00483734">
        <w:rPr>
          <w:lang w:val="nl-NL"/>
        </w:rPr>
        <w:t>r.o.</w:t>
      </w:r>
      <w:proofErr w:type="spellEnd"/>
      <w:r w:rsidRPr="00483734">
        <w:rPr>
          <w:lang w:val="nl-NL"/>
        </w:rPr>
        <w:t xml:space="preserve"> 5.12) is of X BV de voornoemde diensten van A SA heeft afgenomen in ruil voor een tegenprestatie onder bezwarende titel. Het hof overweegt dat X BV (i) de betalingen aan de dienstverleners – deels of geheel – op zich heeft genomen als tegenprestatie voor het voordeel dat zij heeft ontvangen (standpunt inspecteur) of (ii) dat zij slechts als kassier heeft gefaciliteerd (standpunt X BV). Het hof acht het aannemelijk dat X BV de betalingen (voor 75%) op zich heeft genomen als tegenprestatie voor de diensten verricht door A SA. Een argument dat voor dit standpunt wordt ingebracht is dat – naast dat X BV van bepaalde diensten voordeel heeft gehad c.q. of heeft verbruikt -X BV de bedragen die zij heeft betaald op grond van de Fee Agreement heeft doorberekend en de Fee Agreement X BV een basis biedt om eigen kosten bij A </w:t>
      </w:r>
      <w:proofErr w:type="spellStart"/>
      <w:r w:rsidRPr="00483734">
        <w:rPr>
          <w:lang w:val="nl-NL"/>
        </w:rPr>
        <w:t>Holdco</w:t>
      </w:r>
      <w:proofErr w:type="spellEnd"/>
      <w:r w:rsidRPr="00483734">
        <w:rPr>
          <w:lang w:val="nl-NL"/>
        </w:rPr>
        <w:t xml:space="preserve"> SL in rekening te brengen (</w:t>
      </w:r>
      <w:proofErr w:type="spellStart"/>
      <w:r w:rsidRPr="00483734">
        <w:rPr>
          <w:lang w:val="nl-NL"/>
        </w:rPr>
        <w:t>r.o.</w:t>
      </w:r>
      <w:proofErr w:type="spellEnd"/>
      <w:r w:rsidRPr="00483734">
        <w:rPr>
          <w:lang w:val="nl-NL"/>
        </w:rPr>
        <w:t xml:space="preserve"> 5.14). De overige 25% van de kosten zien op de </w:t>
      </w:r>
      <w:proofErr w:type="spellStart"/>
      <w:r w:rsidRPr="00483734">
        <w:rPr>
          <w:i/>
          <w:iCs/>
          <w:lang w:val="nl-NL"/>
        </w:rPr>
        <w:t>revolving</w:t>
      </w:r>
      <w:proofErr w:type="spellEnd"/>
      <w:r w:rsidRPr="00483734">
        <w:rPr>
          <w:i/>
          <w:iCs/>
          <w:lang w:val="nl-NL"/>
        </w:rPr>
        <w:t xml:space="preserve"> credit facility</w:t>
      </w:r>
      <w:r w:rsidRPr="00483734">
        <w:rPr>
          <w:lang w:val="nl-NL"/>
        </w:rPr>
        <w:t xml:space="preserve"> die A </w:t>
      </w:r>
      <w:proofErr w:type="spellStart"/>
      <w:r w:rsidRPr="00483734">
        <w:rPr>
          <w:lang w:val="nl-NL"/>
        </w:rPr>
        <w:t>Holdco</w:t>
      </w:r>
      <w:proofErr w:type="spellEnd"/>
      <w:r w:rsidRPr="00483734">
        <w:rPr>
          <w:lang w:val="nl-NL"/>
        </w:rPr>
        <w:t xml:space="preserve"> SL heeft verkregen, waar X BV verder buiten staat (zie </w:t>
      </w:r>
      <w:proofErr w:type="spellStart"/>
      <w:r w:rsidRPr="00483734">
        <w:rPr>
          <w:lang w:val="nl-NL"/>
        </w:rPr>
        <w:t>r.o.</w:t>
      </w:r>
      <w:proofErr w:type="spellEnd"/>
      <w:r w:rsidRPr="00483734">
        <w:rPr>
          <w:lang w:val="nl-NL"/>
        </w:rPr>
        <w:t xml:space="preserve"> 5.13). Voor deze kosten lijkt de conclusie te zijn dat X BV dus wel als kassier heeft gefungeerd. De naheffingsaanslag wordt dienovereenkomstig verminderd met 25%.</w:t>
      </w:r>
    </w:p>
    <w:p w14:paraId="76EF0C3F" w14:textId="77777777" w:rsidR="00483734" w:rsidRPr="00483734" w:rsidRDefault="00483734" w:rsidP="00483734">
      <w:pPr>
        <w:pStyle w:val="BodyText"/>
        <w:rPr>
          <w:lang w:val="nl-NL"/>
        </w:rPr>
      </w:pPr>
      <w:r w:rsidRPr="00483734">
        <w:rPr>
          <w:lang w:val="nl-NL"/>
        </w:rPr>
        <w:lastRenderedPageBreak/>
        <w:t xml:space="preserve">Tot slot heeft X BV geen recht op aftrek van voorbelasting, omdat de ingekochte adviesdiensten direct toerekenbaar zijn aan een vrijgestelde rentedragende lening (o.b.v. bepalingen in de Fee Arrangement). De kosten zijn dus niet toerekenbaar aan een btw-belaste kostendoorbelasting, zoals X BV stelt. </w:t>
      </w:r>
    </w:p>
    <w:p w14:paraId="4BB5BE67" w14:textId="77777777" w:rsidR="00483734" w:rsidRPr="00483734" w:rsidRDefault="00483734" w:rsidP="00483734">
      <w:pPr>
        <w:pStyle w:val="BodyText"/>
        <w:rPr>
          <w:lang w:val="nl-NL"/>
        </w:rPr>
      </w:pPr>
      <w:r w:rsidRPr="00483734">
        <w:rPr>
          <w:lang w:val="nl-NL"/>
        </w:rPr>
        <w:t>Op basis van het oordeel van het hof, komt de hierboven opgenomen schematische weergave er als volgt uit te zien:</w:t>
      </w:r>
    </w:p>
    <w:p w14:paraId="093F5C3D" w14:textId="3C5E0ACA" w:rsidR="00483734" w:rsidRPr="00483734" w:rsidRDefault="00483734" w:rsidP="00483734">
      <w:pPr>
        <w:pStyle w:val="BodyText"/>
        <w:rPr>
          <w:lang w:val="nl-NL"/>
        </w:rPr>
      </w:pPr>
      <w:r w:rsidRPr="00483734">
        <w:rPr>
          <w:noProof/>
        </w:rPr>
        <w:drawing>
          <wp:inline distT="0" distB="0" distL="0" distR="0" wp14:anchorId="07603420" wp14:editId="10BC6341">
            <wp:extent cx="5518205" cy="2498156"/>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29484" cy="2503262"/>
                    </a:xfrm>
                    <a:prstGeom prst="rect">
                      <a:avLst/>
                    </a:prstGeom>
                  </pic:spPr>
                </pic:pic>
              </a:graphicData>
            </a:graphic>
          </wp:inline>
        </w:drawing>
      </w:r>
    </w:p>
    <w:p w14:paraId="5EC23732" w14:textId="77777777" w:rsidR="00483734" w:rsidRPr="00483734" w:rsidRDefault="00483734" w:rsidP="00483734">
      <w:pPr>
        <w:pStyle w:val="BodyText"/>
        <w:numPr>
          <w:ilvl w:val="0"/>
          <w:numId w:val="11"/>
        </w:numPr>
        <w:rPr>
          <w:b/>
          <w:bCs/>
          <w:i/>
          <w:lang w:val="nl-NL"/>
        </w:rPr>
      </w:pPr>
      <w:r w:rsidRPr="00483734">
        <w:rPr>
          <w:b/>
          <w:bCs/>
          <w:i/>
          <w:lang w:val="nl-NL"/>
        </w:rPr>
        <w:t>Fiscaaltechnische analyse</w:t>
      </w:r>
    </w:p>
    <w:p w14:paraId="5BCC6B5A" w14:textId="74E29F2B" w:rsidR="00483734" w:rsidRPr="00483734" w:rsidRDefault="00483734" w:rsidP="00483734">
      <w:pPr>
        <w:pStyle w:val="BodyText"/>
        <w:rPr>
          <w:lang w:val="nl-NL"/>
        </w:rPr>
      </w:pPr>
      <w:r w:rsidRPr="00483734">
        <w:rPr>
          <w:lang w:val="nl-NL"/>
        </w:rPr>
        <w:t xml:space="preserve">De problematiek die aan de orde komt in deze uitspraak </w:t>
      </w:r>
      <w:r w:rsidR="00DB28AE">
        <w:rPr>
          <w:lang w:val="nl-NL"/>
        </w:rPr>
        <w:t>is</w:t>
      </w:r>
      <w:r w:rsidRPr="00483734">
        <w:rPr>
          <w:lang w:val="nl-NL"/>
        </w:rPr>
        <w:t xml:space="preserve"> vaker aan de orde in de fusie-en overnamepraktijk en, zoals in bovenstaand geval, bij herfinancieringen. Een zaak die dus van belang is voor de praktijk</w:t>
      </w:r>
      <w:r w:rsidR="003C6BA4">
        <w:rPr>
          <w:lang w:val="nl-NL"/>
        </w:rPr>
        <w:t xml:space="preserve">. </w:t>
      </w:r>
      <w:r w:rsidRPr="00483734">
        <w:rPr>
          <w:lang w:val="nl-NL"/>
        </w:rPr>
        <w:t xml:space="preserve">Hieronder bespreken wij een aantal fiscaaltechnische elementen die wij van belang achten voor de praktijk. </w:t>
      </w:r>
    </w:p>
    <w:p w14:paraId="34ACE420" w14:textId="56678941" w:rsidR="00483734" w:rsidRPr="00483734" w:rsidRDefault="00483734" w:rsidP="00483734">
      <w:pPr>
        <w:pStyle w:val="BodyText"/>
        <w:rPr>
          <w:lang w:val="nl-NL"/>
        </w:rPr>
      </w:pPr>
      <w:r w:rsidRPr="00483734">
        <w:rPr>
          <w:i/>
          <w:iCs/>
          <w:lang w:val="nl-NL"/>
        </w:rPr>
        <w:t>Afnemer van de prestatie – in de plaats treden</w:t>
      </w:r>
      <w:r w:rsidRPr="00483734">
        <w:rPr>
          <w:i/>
          <w:iCs/>
          <w:lang w:val="nl-NL"/>
        </w:rPr>
        <w:br/>
      </w:r>
      <w:r w:rsidRPr="00483734">
        <w:rPr>
          <w:i/>
          <w:iCs/>
          <w:lang w:val="nl-NL"/>
        </w:rPr>
        <w:br/>
      </w:r>
      <w:r w:rsidRPr="00483734">
        <w:rPr>
          <w:lang w:val="nl-NL"/>
        </w:rPr>
        <w:t xml:space="preserve">In de onderhavige zaak ontvangt belanghebbende de facturen van de dienstverrichters, maar zijn de rechtsbetrekkingen in eerste instantie aangegaan met een andere entiteit (A SA) omdat belanghebbende op dat moment nog niet was opgericht. Daardoor staat twijfel over wie daadwerkelijk de afnemer van de prestaties is. Het hof geeft aan dat het moet worden beoordeeld of belanghebbende partij is bij de hiervoor genoemde rechtsbetrekkingen op het moment dat de dienst wordt verricht. Eerst dan vindt immers het belastbare feit plaats en moet (definitief) worden bepaald wie de afnemer is. Dat betekent dat een partij – ook als de opdracht tot dienstverlening in eerste instantie is verstrekt door een ander – afnemer van de dienst kan zijn geworden door </w:t>
      </w:r>
      <w:r w:rsidRPr="00483734">
        <w:rPr>
          <w:i/>
          <w:iCs/>
          <w:lang w:val="nl-NL"/>
        </w:rPr>
        <w:t>in de plaats van</w:t>
      </w:r>
      <w:r w:rsidRPr="00483734">
        <w:rPr>
          <w:lang w:val="nl-NL"/>
        </w:rPr>
        <w:t xml:space="preserve"> die ander te treden, mits dit is geschied uiterlijk op het tijdstip waarop de dienst is verricht (zie </w:t>
      </w:r>
      <w:proofErr w:type="spellStart"/>
      <w:r w:rsidRPr="00483734">
        <w:rPr>
          <w:lang w:val="nl-NL"/>
        </w:rPr>
        <w:t>r.o.</w:t>
      </w:r>
      <w:proofErr w:type="spellEnd"/>
      <w:r w:rsidRPr="00483734">
        <w:rPr>
          <w:lang w:val="nl-NL"/>
        </w:rPr>
        <w:t xml:space="preserve"> 5.2). </w:t>
      </w:r>
    </w:p>
    <w:p w14:paraId="67B87484" w14:textId="2474D14D" w:rsidR="00483734" w:rsidRPr="00483734" w:rsidRDefault="00483734" w:rsidP="00483734">
      <w:pPr>
        <w:pStyle w:val="BodyText"/>
        <w:rPr>
          <w:lang w:val="nl-NL"/>
        </w:rPr>
      </w:pPr>
      <w:r w:rsidRPr="00483734">
        <w:rPr>
          <w:lang w:val="nl-NL"/>
        </w:rPr>
        <w:t xml:space="preserve">Hierbij is van belang dat aannemelijk wordt gemaakt dat de partij, die in eerste instantie de rechtsbetrekkingen aangaat, heeft gehandeld voor de partij die later in de plaats treedt voor eerstgenoemde partij. Het moet duidelijk zijn </w:t>
      </w:r>
      <w:r w:rsidRPr="00483734">
        <w:rPr>
          <w:i/>
          <w:iCs/>
          <w:lang w:val="nl-NL"/>
        </w:rPr>
        <w:t>wat</w:t>
      </w:r>
      <w:r w:rsidRPr="00483734">
        <w:rPr>
          <w:lang w:val="nl-NL"/>
        </w:rPr>
        <w:t xml:space="preserve"> de afspraken inhouden en </w:t>
      </w:r>
      <w:r w:rsidRPr="00483734">
        <w:rPr>
          <w:i/>
          <w:iCs/>
          <w:lang w:val="nl-NL"/>
        </w:rPr>
        <w:t xml:space="preserve">wanneer </w:t>
      </w:r>
      <w:r w:rsidRPr="00483734">
        <w:rPr>
          <w:lang w:val="nl-NL"/>
        </w:rPr>
        <w:t xml:space="preserve">zij tot stand zijn gekomen (al dan niet op het moment waarop de diensten zijn verricht – </w:t>
      </w:r>
      <w:proofErr w:type="spellStart"/>
      <w:r w:rsidRPr="00483734">
        <w:rPr>
          <w:lang w:val="nl-NL"/>
        </w:rPr>
        <w:t>r.o.</w:t>
      </w:r>
      <w:proofErr w:type="spellEnd"/>
      <w:r w:rsidRPr="00483734">
        <w:rPr>
          <w:lang w:val="nl-NL"/>
        </w:rPr>
        <w:t xml:space="preserve"> 5.4). Het enkele feit dat laatstgenoemde partij de facturen </w:t>
      </w:r>
      <w:r w:rsidR="003C6BA4">
        <w:rPr>
          <w:lang w:val="nl-NL"/>
        </w:rPr>
        <w:t xml:space="preserve">heeft ontvangen en </w:t>
      </w:r>
      <w:r w:rsidRPr="00483734">
        <w:rPr>
          <w:lang w:val="nl-NL"/>
        </w:rPr>
        <w:t xml:space="preserve">betaald, is in ieder geval </w:t>
      </w:r>
      <w:r w:rsidRPr="00483734">
        <w:rPr>
          <w:u w:val="single"/>
          <w:lang w:val="nl-NL"/>
        </w:rPr>
        <w:t>niet</w:t>
      </w:r>
      <w:r w:rsidRPr="00483734">
        <w:rPr>
          <w:lang w:val="nl-NL"/>
        </w:rPr>
        <w:t xml:space="preserve"> voldoende voor de </w:t>
      </w:r>
      <w:r w:rsidRPr="00483734">
        <w:rPr>
          <w:lang w:val="nl-NL"/>
        </w:rPr>
        <w:lastRenderedPageBreak/>
        <w:t xml:space="preserve">kwalificatie ‘afnemer’. In de praktijk betekent dit dat wanneer een entiteit later wordt opgericht dan het moment waarop </w:t>
      </w:r>
      <w:r w:rsidR="003C6BA4">
        <w:rPr>
          <w:lang w:val="nl-NL"/>
        </w:rPr>
        <w:t>de</w:t>
      </w:r>
      <w:r w:rsidRPr="00483734">
        <w:rPr>
          <w:lang w:val="nl-NL"/>
        </w:rPr>
        <w:t xml:space="preserve"> rechtsbetrekking is aangegaan, nog steeds </w:t>
      </w:r>
      <w:r w:rsidR="003C6BA4">
        <w:rPr>
          <w:lang w:val="nl-NL"/>
        </w:rPr>
        <w:t xml:space="preserve">kan </w:t>
      </w:r>
      <w:r w:rsidRPr="00483734">
        <w:rPr>
          <w:lang w:val="nl-NL"/>
        </w:rPr>
        <w:t xml:space="preserve">kwalificeren </w:t>
      </w:r>
      <w:r w:rsidR="003C6BA4">
        <w:rPr>
          <w:lang w:val="nl-NL"/>
        </w:rPr>
        <w:t xml:space="preserve">als afnemer </w:t>
      </w:r>
      <w:r w:rsidRPr="00483734">
        <w:rPr>
          <w:lang w:val="nl-NL"/>
        </w:rPr>
        <w:t>indien deze partij in de plaats treedt van de oorspronkelijke partij en dit aannemelijk maakt aan de hand van bovenstaande voorwaarden (d.w.z. het moet duidelijk zijn welke afspraken tussen partijen zijn gemaakt en wanneer). Timing is hierbij dus van essentieel belang.</w:t>
      </w:r>
    </w:p>
    <w:p w14:paraId="2A5AE471" w14:textId="77777777" w:rsidR="00483734" w:rsidRPr="00483734" w:rsidRDefault="00483734" w:rsidP="00483734">
      <w:pPr>
        <w:pStyle w:val="BodyText"/>
        <w:rPr>
          <w:i/>
          <w:iCs/>
          <w:lang w:val="nl-NL"/>
        </w:rPr>
      </w:pPr>
      <w:r w:rsidRPr="00483734">
        <w:rPr>
          <w:i/>
          <w:iCs/>
          <w:lang w:val="nl-NL"/>
        </w:rPr>
        <w:t>Afnemer van de prestatie – tegenbewijsregeling</w:t>
      </w:r>
    </w:p>
    <w:p w14:paraId="7BFA7985" w14:textId="77777777" w:rsidR="00483734" w:rsidRPr="00483734" w:rsidRDefault="00483734" w:rsidP="00483734">
      <w:pPr>
        <w:pStyle w:val="BodyText"/>
        <w:rPr>
          <w:lang w:val="nl-NL"/>
        </w:rPr>
      </w:pPr>
      <w:r w:rsidRPr="00483734">
        <w:rPr>
          <w:lang w:val="nl-NL"/>
        </w:rPr>
        <w:t xml:space="preserve">In de onderhavige zaak is niet duidelijk wie nu de afnemer is van de prestaties, X BV of A SA. De afnemer van de prestatie is – </w:t>
      </w:r>
      <w:r w:rsidRPr="00483734">
        <w:rPr>
          <w:i/>
          <w:iCs/>
          <w:lang w:val="nl-NL"/>
        </w:rPr>
        <w:t>behoudens tegenbewijs</w:t>
      </w:r>
      <w:r w:rsidRPr="00483734">
        <w:rPr>
          <w:lang w:val="nl-NL"/>
        </w:rPr>
        <w:t xml:space="preserve"> – degene die in een factuur wordt genoemd als degene aan wie de op die factuur omschreven dienst is verleend. Het hof gaat (in </w:t>
      </w:r>
      <w:proofErr w:type="spellStart"/>
      <w:r w:rsidRPr="00483734">
        <w:rPr>
          <w:lang w:val="nl-NL"/>
        </w:rPr>
        <w:t>r.o.</w:t>
      </w:r>
      <w:proofErr w:type="spellEnd"/>
      <w:r w:rsidRPr="00483734">
        <w:rPr>
          <w:lang w:val="nl-NL"/>
        </w:rPr>
        <w:t xml:space="preserve"> 5.3.) nader in op de tegenbewijsregeling.</w:t>
      </w:r>
      <w:r w:rsidRPr="00483734">
        <w:rPr>
          <w:vertAlign w:val="superscript"/>
          <w:lang w:val="nl-NL"/>
        </w:rPr>
        <w:footnoteReference w:id="2"/>
      </w:r>
      <w:r w:rsidRPr="00483734">
        <w:rPr>
          <w:lang w:val="nl-NL"/>
        </w:rPr>
        <w:t xml:space="preserve"> Het hof geeft namelijk aan dat tegenbewijs kan worden geleverd door feiten en omstandigheden te stellen en aannemelijk te maken, die redelijke twijfel doen ontstaan of de op de factuur genoemde afnemer ook daadwerkelijk de afnemer is. Het is vervolgens aan de andere partij (in onderhavige zaak was dat belanghebbende, X BV) om te bewijzen dat de op de factuur genoemde afnemer inderdaad de daadwerkelijke afnemer is. </w:t>
      </w:r>
    </w:p>
    <w:p w14:paraId="5314E58A" w14:textId="6D32B109" w:rsidR="00483734" w:rsidRDefault="00483734" w:rsidP="00483734">
      <w:pPr>
        <w:pStyle w:val="BodyText"/>
        <w:rPr>
          <w:lang w:val="nl-NL"/>
        </w:rPr>
      </w:pPr>
      <w:r w:rsidRPr="00483734">
        <w:rPr>
          <w:lang w:val="nl-NL"/>
        </w:rPr>
        <w:t>In de praktijk betekent dit dat wanneer (vermoedelijk) de inspecteur twijfels heeft over wie de afnemer van een bepaalde prestatie is (zoals vermeld op de factuur) en wellicht het voornemen heeft het recht op aftrek van voorbelasting aan genoemde afnemer te weigeren, tegenbewijs zal moeten leveren in de vorm van gestelde feiten en omstandigheden</w:t>
      </w:r>
      <w:r w:rsidR="003C6BA4">
        <w:rPr>
          <w:lang w:val="nl-NL"/>
        </w:rPr>
        <w:t>. D</w:t>
      </w:r>
      <w:r w:rsidR="0054653F">
        <w:rPr>
          <w:lang w:val="nl-NL"/>
        </w:rPr>
        <w:t>e inspecteur</w:t>
      </w:r>
      <w:r w:rsidR="003C6BA4">
        <w:rPr>
          <w:lang w:val="nl-NL"/>
        </w:rPr>
        <w:t xml:space="preserve"> moet </w:t>
      </w:r>
      <w:r w:rsidR="0054653F">
        <w:rPr>
          <w:lang w:val="nl-NL"/>
        </w:rPr>
        <w:t xml:space="preserve">vervolgens onderbouwen waarom kan worden getwijfeld aan de op de factuur vermelde afnemer. Voor eventueel bewijs ter onderbouwing is de inspecteur hoogstwaarschijnlijk </w:t>
      </w:r>
      <w:r w:rsidR="00A41187">
        <w:rPr>
          <w:lang w:val="nl-NL"/>
        </w:rPr>
        <w:t xml:space="preserve">juist </w:t>
      </w:r>
      <w:r w:rsidRPr="00483734">
        <w:rPr>
          <w:lang w:val="nl-NL"/>
        </w:rPr>
        <w:t xml:space="preserve">afhankelijk van hetgeen wat de belastingplichtige – op verzoek – aanlevert. </w:t>
      </w:r>
      <w:r w:rsidR="0054653F">
        <w:rPr>
          <w:lang w:val="nl-NL"/>
        </w:rPr>
        <w:t>Nadat de inspecteur aannemelijk heeft gemaakt dat mogelijk een andere partij afnemer van de prestatie is, k</w:t>
      </w:r>
      <w:r w:rsidR="00A41187">
        <w:rPr>
          <w:lang w:val="nl-NL"/>
        </w:rPr>
        <w:t xml:space="preserve">rijgt de vermoedelijke afnemer nogmaals de kans om te bewijzen dat </w:t>
      </w:r>
      <w:r w:rsidRPr="00483734">
        <w:rPr>
          <w:lang w:val="nl-NL"/>
        </w:rPr>
        <w:t xml:space="preserve">hij de daadwerkelijke afnemer is. </w:t>
      </w:r>
    </w:p>
    <w:p w14:paraId="11A62BCE" w14:textId="3AE3C9C6" w:rsidR="0098240B" w:rsidRPr="00483734" w:rsidRDefault="0098240B" w:rsidP="00483734">
      <w:pPr>
        <w:pStyle w:val="BodyText"/>
        <w:rPr>
          <w:lang w:val="nl-NL"/>
        </w:rPr>
      </w:pPr>
      <w:r>
        <w:rPr>
          <w:lang w:val="nl-NL"/>
        </w:rPr>
        <w:t xml:space="preserve">In de onderhavige zaak is het – wij zagen dat reeds - de belastingplichtige zelf – en niet de inspecteur – die stelt dat hij niet de afnemer is en dus dient te ontzenuwen dat hij als geadresseerde op de factuur en als betaler de afnemer is. Dat is hem ook gelukt. Door erop te wijzen en te bewijzen dat A SA de rechtsbetrekking met de dienstverleners is aangegaan (door een overeenkomst te sluiten inzake financiële adviezen tegen vergoeding) heeft hij in voldoende mate aangetoond dat deze vennootschap en niet hij de afnemer is van de bedoelde dienstverleners. </w:t>
      </w:r>
    </w:p>
    <w:p w14:paraId="63B6D3A5" w14:textId="2C33AC02" w:rsidR="00483734" w:rsidRPr="00483734" w:rsidRDefault="00483734" w:rsidP="00483734">
      <w:pPr>
        <w:pStyle w:val="BodyText"/>
        <w:rPr>
          <w:i/>
          <w:iCs/>
          <w:lang w:val="nl-NL"/>
        </w:rPr>
      </w:pPr>
      <w:r w:rsidRPr="00483734">
        <w:rPr>
          <w:i/>
          <w:iCs/>
          <w:lang w:val="nl-NL"/>
        </w:rPr>
        <w:t xml:space="preserve">Afnemer van de prestatie – </w:t>
      </w:r>
      <w:r w:rsidR="006C10C2">
        <w:rPr>
          <w:i/>
          <w:iCs/>
          <w:lang w:val="nl-NL"/>
        </w:rPr>
        <w:t>verbruik versus rechtsbetrekking</w:t>
      </w:r>
    </w:p>
    <w:p w14:paraId="77E24C16" w14:textId="0D9251DF" w:rsidR="00483734" w:rsidRPr="00483734" w:rsidRDefault="0098240B" w:rsidP="00483734">
      <w:pPr>
        <w:pStyle w:val="BodyText"/>
        <w:rPr>
          <w:lang w:val="nl-NL"/>
        </w:rPr>
      </w:pPr>
      <w:r>
        <w:rPr>
          <w:lang w:val="nl-NL"/>
        </w:rPr>
        <w:t xml:space="preserve">Dit is nog niet het einde van het verhaal. </w:t>
      </w:r>
      <w:r w:rsidR="00483734" w:rsidRPr="00483734">
        <w:rPr>
          <w:lang w:val="nl-NL"/>
        </w:rPr>
        <w:t xml:space="preserve">Hoewel A SA volgens het hof als de (aannemelijke) afnemer van de prestatie dient te worden geïdentificeerd, heeft X BV een voordeel verkregen bij de voorbereiding van de herfinancieringsoperatie en </w:t>
      </w:r>
      <w:r w:rsidR="00663E5B">
        <w:rPr>
          <w:lang w:val="nl-NL"/>
        </w:rPr>
        <w:t xml:space="preserve">dus van </w:t>
      </w:r>
      <w:r w:rsidR="00483734" w:rsidRPr="00483734">
        <w:rPr>
          <w:lang w:val="nl-NL"/>
        </w:rPr>
        <w:t xml:space="preserve">de diensten die de dienstverleners in dat kader hebben verricht. Deze diensten (i.e. het </w:t>
      </w:r>
      <w:proofErr w:type="spellStart"/>
      <w:r w:rsidR="00483734" w:rsidRPr="00483734">
        <w:rPr>
          <w:i/>
          <w:iCs/>
          <w:lang w:val="nl-NL"/>
        </w:rPr>
        <w:t>offering</w:t>
      </w:r>
      <w:proofErr w:type="spellEnd"/>
      <w:r w:rsidR="00483734" w:rsidRPr="00483734">
        <w:rPr>
          <w:i/>
          <w:iCs/>
          <w:lang w:val="nl-NL"/>
        </w:rPr>
        <w:t xml:space="preserve"> memorandum</w:t>
      </w:r>
      <w:r w:rsidR="00483734" w:rsidRPr="00483734">
        <w:rPr>
          <w:lang w:val="nl-NL"/>
        </w:rPr>
        <w:t>) waren</w:t>
      </w:r>
      <w:r w:rsidR="00A41187">
        <w:rPr>
          <w:lang w:val="nl-NL"/>
        </w:rPr>
        <w:t xml:space="preserve"> volgens het hof</w:t>
      </w:r>
      <w:r w:rsidR="00483734" w:rsidRPr="00483734">
        <w:rPr>
          <w:lang w:val="nl-NL"/>
        </w:rPr>
        <w:t xml:space="preserve"> noodzakelijk </w:t>
      </w:r>
      <w:r w:rsidR="00A41187">
        <w:rPr>
          <w:lang w:val="nl-NL"/>
        </w:rPr>
        <w:t xml:space="preserve">voor X BV </w:t>
      </w:r>
      <w:r w:rsidR="00483734" w:rsidRPr="00483734">
        <w:rPr>
          <w:lang w:val="nl-NL"/>
        </w:rPr>
        <w:t>om de obligaties</w:t>
      </w:r>
      <w:r w:rsidR="00A41187">
        <w:rPr>
          <w:lang w:val="nl-NL"/>
        </w:rPr>
        <w:t xml:space="preserve"> uit te geven </w:t>
      </w:r>
      <w:r w:rsidR="00483734" w:rsidRPr="00483734">
        <w:rPr>
          <w:lang w:val="nl-NL"/>
        </w:rPr>
        <w:t xml:space="preserve">en de rentedragende lening te kunnen verstrekken. </w:t>
      </w:r>
      <w:r w:rsidR="00A41187">
        <w:rPr>
          <w:lang w:val="nl-NL"/>
        </w:rPr>
        <w:t xml:space="preserve">Volgens het hof heeft X BV voordeel genoten </w:t>
      </w:r>
      <w:r w:rsidR="004A7690">
        <w:rPr>
          <w:lang w:val="nl-NL"/>
        </w:rPr>
        <w:t>(</w:t>
      </w:r>
      <w:r w:rsidR="00A41187">
        <w:rPr>
          <w:lang w:val="nl-NL"/>
        </w:rPr>
        <w:t xml:space="preserve">van bijvoorbeeld het </w:t>
      </w:r>
      <w:proofErr w:type="spellStart"/>
      <w:r w:rsidR="00A41187" w:rsidRPr="004A7690">
        <w:rPr>
          <w:i/>
          <w:iCs/>
          <w:lang w:val="nl-NL"/>
        </w:rPr>
        <w:t>offering</w:t>
      </w:r>
      <w:proofErr w:type="spellEnd"/>
      <w:r w:rsidR="00A41187" w:rsidRPr="004A7690">
        <w:rPr>
          <w:i/>
          <w:iCs/>
          <w:lang w:val="nl-NL"/>
        </w:rPr>
        <w:t xml:space="preserve"> memorandum</w:t>
      </w:r>
      <w:r w:rsidR="004A7690">
        <w:rPr>
          <w:lang w:val="nl-NL"/>
        </w:rPr>
        <w:t>)</w:t>
      </w:r>
      <w:r w:rsidR="00A41187">
        <w:rPr>
          <w:lang w:val="nl-NL"/>
        </w:rPr>
        <w:t xml:space="preserve"> dat zij heeft kunnen verbruiken in het kader van haar economische activiteit. Het hof geeft daarbij aan dat het verschaffen van dit voordeel het verrichten van een of meer diensten inhoudt (</w:t>
      </w:r>
      <w:proofErr w:type="spellStart"/>
      <w:r w:rsidR="00A41187">
        <w:rPr>
          <w:lang w:val="nl-NL"/>
        </w:rPr>
        <w:t>r.o.</w:t>
      </w:r>
      <w:proofErr w:type="spellEnd"/>
      <w:r w:rsidR="00A41187">
        <w:rPr>
          <w:lang w:val="nl-NL"/>
        </w:rPr>
        <w:t xml:space="preserve"> 5.11)</w:t>
      </w:r>
      <w:r w:rsidR="003C7432">
        <w:rPr>
          <w:lang w:val="nl-NL"/>
        </w:rPr>
        <w:t xml:space="preserve"> </w:t>
      </w:r>
      <w:r w:rsidR="00663E5B">
        <w:rPr>
          <w:lang w:val="nl-NL"/>
        </w:rPr>
        <w:t xml:space="preserve">verricht door A SA </w:t>
      </w:r>
      <w:r w:rsidR="003C7432">
        <w:rPr>
          <w:lang w:val="nl-NL"/>
        </w:rPr>
        <w:t xml:space="preserve">en vraagt zich daarbij af of X BV deze diensten heeft afgenomen van A SA in ruil voor een tegenprestatie. Hoewel het hof kort stilstaat bij het scenario dat X BV mogelijk als kassier heeft gefaciliteerd binnen de structuur, </w:t>
      </w:r>
      <w:r w:rsidR="003C7432" w:rsidRPr="00483734">
        <w:rPr>
          <w:lang w:val="nl-NL"/>
        </w:rPr>
        <w:t xml:space="preserve">acht </w:t>
      </w:r>
      <w:r w:rsidR="003C7432">
        <w:rPr>
          <w:lang w:val="nl-NL"/>
        </w:rPr>
        <w:t xml:space="preserve">het hof het meest </w:t>
      </w:r>
      <w:r w:rsidR="003C7432" w:rsidRPr="00483734">
        <w:rPr>
          <w:lang w:val="nl-NL"/>
        </w:rPr>
        <w:t xml:space="preserve">aannemelijk dat X BV de </w:t>
      </w:r>
      <w:r w:rsidR="003C7432" w:rsidRPr="00483734">
        <w:rPr>
          <w:lang w:val="nl-NL"/>
        </w:rPr>
        <w:lastRenderedPageBreak/>
        <w:t>betalingen</w:t>
      </w:r>
      <w:r w:rsidR="003C7432">
        <w:rPr>
          <w:lang w:val="nl-NL"/>
        </w:rPr>
        <w:t xml:space="preserve"> van de adviesdiensten</w:t>
      </w:r>
      <w:r w:rsidR="003C7432" w:rsidRPr="00483734">
        <w:rPr>
          <w:lang w:val="nl-NL"/>
        </w:rPr>
        <w:t xml:space="preserve"> (voor 75%</w:t>
      </w:r>
      <w:r w:rsidR="003C7432" w:rsidRPr="00483734">
        <w:rPr>
          <w:vertAlign w:val="superscript"/>
          <w:lang w:val="nl-NL"/>
        </w:rPr>
        <w:footnoteReference w:id="3"/>
      </w:r>
      <w:r w:rsidR="003C7432" w:rsidRPr="00483734">
        <w:rPr>
          <w:lang w:val="nl-NL"/>
        </w:rPr>
        <w:t xml:space="preserve">) op zich heeft genomen als </w:t>
      </w:r>
      <w:r w:rsidR="003C7432" w:rsidRPr="00483734">
        <w:rPr>
          <w:u w:val="single"/>
          <w:lang w:val="nl-NL"/>
        </w:rPr>
        <w:t>tegenprestatie</w:t>
      </w:r>
      <w:r w:rsidR="003C7432" w:rsidRPr="00483734">
        <w:rPr>
          <w:lang w:val="nl-NL"/>
        </w:rPr>
        <w:t xml:space="preserve"> voor de diensten verricht door A SA</w:t>
      </w:r>
      <w:r w:rsidR="003C7432">
        <w:rPr>
          <w:lang w:val="nl-NL"/>
        </w:rPr>
        <w:t xml:space="preserve">. Het argument hiervoor is dat </w:t>
      </w:r>
      <w:r w:rsidR="00483734" w:rsidRPr="00483734">
        <w:rPr>
          <w:lang w:val="nl-NL"/>
        </w:rPr>
        <w:t>X BV</w:t>
      </w:r>
      <w:r w:rsidR="003C7432">
        <w:rPr>
          <w:lang w:val="nl-NL"/>
        </w:rPr>
        <w:t xml:space="preserve"> </w:t>
      </w:r>
      <w:r w:rsidR="00483734" w:rsidRPr="00483734">
        <w:rPr>
          <w:lang w:val="nl-NL"/>
        </w:rPr>
        <w:t>de bedragen die zij heeft betaald op grond van de Fee A</w:t>
      </w:r>
      <w:r w:rsidR="003C7432">
        <w:rPr>
          <w:lang w:val="nl-NL"/>
        </w:rPr>
        <w:t>rrangement</w:t>
      </w:r>
      <w:r w:rsidR="00483734" w:rsidRPr="00483734">
        <w:rPr>
          <w:lang w:val="nl-NL"/>
        </w:rPr>
        <w:t xml:space="preserve"> </w:t>
      </w:r>
      <w:r w:rsidR="003C7432">
        <w:rPr>
          <w:lang w:val="nl-NL"/>
        </w:rPr>
        <w:t xml:space="preserve">heeft </w:t>
      </w:r>
      <w:r w:rsidR="00483734" w:rsidRPr="00483734">
        <w:rPr>
          <w:lang w:val="nl-NL"/>
        </w:rPr>
        <w:t>doorberekend</w:t>
      </w:r>
      <w:r w:rsidR="003C7432">
        <w:rPr>
          <w:lang w:val="nl-NL"/>
        </w:rPr>
        <w:t xml:space="preserve"> aan A </w:t>
      </w:r>
      <w:proofErr w:type="spellStart"/>
      <w:r w:rsidR="003C7432">
        <w:rPr>
          <w:lang w:val="nl-NL"/>
        </w:rPr>
        <w:t>Holdco</w:t>
      </w:r>
      <w:proofErr w:type="spellEnd"/>
      <w:r w:rsidR="003C7432">
        <w:rPr>
          <w:lang w:val="nl-NL"/>
        </w:rPr>
        <w:t xml:space="preserve"> SL</w:t>
      </w:r>
      <w:r w:rsidR="00483734" w:rsidRPr="00483734">
        <w:rPr>
          <w:lang w:val="nl-NL"/>
        </w:rPr>
        <w:t xml:space="preserve"> en daarnaast </w:t>
      </w:r>
      <w:r w:rsidR="003C7432">
        <w:rPr>
          <w:lang w:val="nl-NL"/>
        </w:rPr>
        <w:t xml:space="preserve">op basis van diezelfde overeenkomst </w:t>
      </w:r>
      <w:r w:rsidR="00663E5B">
        <w:rPr>
          <w:lang w:val="nl-NL"/>
        </w:rPr>
        <w:t>‘</w:t>
      </w:r>
      <w:r w:rsidR="00483734" w:rsidRPr="00483734">
        <w:rPr>
          <w:lang w:val="nl-NL"/>
        </w:rPr>
        <w:t>eigen kosten</w:t>
      </w:r>
      <w:r w:rsidR="00663E5B">
        <w:rPr>
          <w:lang w:val="nl-NL"/>
        </w:rPr>
        <w:t>’</w:t>
      </w:r>
      <w:r w:rsidR="00483734" w:rsidRPr="00483734">
        <w:rPr>
          <w:lang w:val="nl-NL"/>
        </w:rPr>
        <w:t xml:space="preserve"> bij A </w:t>
      </w:r>
      <w:proofErr w:type="spellStart"/>
      <w:r w:rsidR="00483734" w:rsidRPr="00483734">
        <w:rPr>
          <w:lang w:val="nl-NL"/>
        </w:rPr>
        <w:t>Holdco</w:t>
      </w:r>
      <w:proofErr w:type="spellEnd"/>
      <w:r w:rsidR="00483734" w:rsidRPr="00483734">
        <w:rPr>
          <w:lang w:val="nl-NL"/>
        </w:rPr>
        <w:t xml:space="preserve"> SL in rekening </w:t>
      </w:r>
      <w:r w:rsidR="003C7432">
        <w:rPr>
          <w:lang w:val="nl-NL"/>
        </w:rPr>
        <w:t xml:space="preserve">kan </w:t>
      </w:r>
      <w:r w:rsidR="00483734" w:rsidRPr="00483734">
        <w:rPr>
          <w:lang w:val="nl-NL"/>
        </w:rPr>
        <w:t>brengen.</w:t>
      </w:r>
      <w:r w:rsidR="003C7432">
        <w:rPr>
          <w:lang w:val="nl-NL"/>
        </w:rPr>
        <w:t xml:space="preserve"> Nu X BV blijkbaar een tegenprestatie heeft verricht voor door A SA verrichte diensten, komt de vraag op</w:t>
      </w:r>
      <w:r w:rsidR="00A41187">
        <w:rPr>
          <w:lang w:val="nl-NL"/>
        </w:rPr>
        <w:t xml:space="preserve"> of </w:t>
      </w:r>
      <w:r w:rsidR="00483734" w:rsidRPr="00483734">
        <w:rPr>
          <w:lang w:val="nl-NL"/>
        </w:rPr>
        <w:t xml:space="preserve">tussen X BV en A SA </w:t>
      </w:r>
      <w:r w:rsidR="00663E5B">
        <w:rPr>
          <w:lang w:val="nl-NL"/>
        </w:rPr>
        <w:t xml:space="preserve">gesproken kan worden van een handeling die onder bezwarende titel is verricht en dus van </w:t>
      </w:r>
      <w:r w:rsidR="00483734" w:rsidRPr="00483734">
        <w:rPr>
          <w:lang w:val="nl-NL"/>
        </w:rPr>
        <w:t>een rechtsbetrekking</w:t>
      </w:r>
      <w:r w:rsidR="00A41187">
        <w:rPr>
          <w:lang w:val="nl-NL"/>
        </w:rPr>
        <w:t xml:space="preserve"> </w:t>
      </w:r>
      <w:r w:rsidR="00663E5B">
        <w:rPr>
          <w:lang w:val="nl-NL"/>
        </w:rPr>
        <w:t>waarin prestaties worden gewisseld</w:t>
      </w:r>
      <w:r w:rsidR="003C7432">
        <w:rPr>
          <w:lang w:val="nl-NL"/>
        </w:rPr>
        <w:t>?</w:t>
      </w:r>
      <w:r w:rsidR="00483734" w:rsidRPr="00483734">
        <w:rPr>
          <w:lang w:val="nl-NL"/>
        </w:rPr>
        <w:t xml:space="preserve"> </w:t>
      </w:r>
    </w:p>
    <w:p w14:paraId="3F8DDE74" w14:textId="504BF57E" w:rsidR="00483734" w:rsidRDefault="00DB28AE" w:rsidP="00483734">
      <w:pPr>
        <w:pStyle w:val="BodyText"/>
        <w:rPr>
          <w:lang w:val="nl-NL"/>
        </w:rPr>
      </w:pPr>
      <w:r>
        <w:rPr>
          <w:lang w:val="nl-NL"/>
        </w:rPr>
        <w:t>E</w:t>
      </w:r>
      <w:r w:rsidR="00483734" w:rsidRPr="00483734">
        <w:rPr>
          <w:lang w:val="nl-NL"/>
        </w:rPr>
        <w:t xml:space="preserve">en handeling </w:t>
      </w:r>
      <w:r>
        <w:rPr>
          <w:lang w:val="nl-NL"/>
        </w:rPr>
        <w:t xml:space="preserve">vindt </w:t>
      </w:r>
      <w:r w:rsidR="00483734" w:rsidRPr="00483734">
        <w:rPr>
          <w:lang w:val="nl-NL"/>
        </w:rPr>
        <w:t>onder bezwarende titel plaats, indien er een rechtstreeks verband bestaat tussen de levering of dienstverrichting en een daadwerkelijk door de ontvangen tegenprestatie. Van een dergelijk verband is sprake wanneer tussen de verrichter en de ontvanger een rechtsbetrekking bestaat in het kader waarvan over en weer prestaties worden uitgewisseld en de ontvangen vergoeding de werkelijke tegenwaarde vormt van de verrichte prestatie.</w:t>
      </w:r>
      <w:r w:rsidR="00483734" w:rsidRPr="00483734">
        <w:rPr>
          <w:vertAlign w:val="superscript"/>
          <w:lang w:val="nl-NL"/>
        </w:rPr>
        <w:footnoteReference w:id="4"/>
      </w:r>
      <w:r w:rsidR="00483734" w:rsidRPr="00483734">
        <w:rPr>
          <w:lang w:val="nl-NL"/>
        </w:rPr>
        <w:t xml:space="preserve"> De vraag rijst bij ons of er in de onderhavige zaak aldus een rechtsbetrekking bestaat in het kader waarvan de adviesdiensten/kostendoorbelasting (verricht door A SA aan X BV) en de vergoeding daarvoor (betaald door X BV aan A SA) worden uitgewisseld. Het hof lijkt </w:t>
      </w:r>
      <w:r w:rsidR="00663E5B">
        <w:rPr>
          <w:lang w:val="nl-NL"/>
        </w:rPr>
        <w:t>daarbij niet van belang te vinden dat</w:t>
      </w:r>
      <w:r w:rsidR="00483734" w:rsidRPr="00483734">
        <w:rPr>
          <w:lang w:val="nl-NL"/>
        </w:rPr>
        <w:t xml:space="preserve"> dat tussen X BV en A SA geen rechtsbetrekking is ontstaan</w:t>
      </w:r>
      <w:r w:rsidR="00A2000E">
        <w:rPr>
          <w:lang w:val="nl-NL"/>
        </w:rPr>
        <w:t>, althans niet</w:t>
      </w:r>
      <w:r w:rsidR="00483734" w:rsidRPr="00483734">
        <w:rPr>
          <w:lang w:val="nl-NL"/>
        </w:rPr>
        <w:t xml:space="preserve"> door een (contractuele) overeenkomst of - voor zover blijkt uit de feiten en omstandigheden – </w:t>
      </w:r>
      <w:r w:rsidR="00A2000E">
        <w:rPr>
          <w:lang w:val="nl-NL"/>
        </w:rPr>
        <w:t>door</w:t>
      </w:r>
      <w:r w:rsidR="00483734" w:rsidRPr="00483734">
        <w:rPr>
          <w:lang w:val="nl-NL"/>
        </w:rPr>
        <w:t>dat (</w:t>
      </w:r>
      <w:r w:rsidR="003C7432">
        <w:rPr>
          <w:lang w:val="nl-NL"/>
        </w:rPr>
        <w:t>schriftelijke</w:t>
      </w:r>
      <w:r w:rsidR="00483734" w:rsidRPr="00483734">
        <w:rPr>
          <w:lang w:val="nl-NL"/>
        </w:rPr>
        <w:t>) afspraken zijn gemaakt. D</w:t>
      </w:r>
      <w:r w:rsidR="00663E5B">
        <w:rPr>
          <w:lang w:val="nl-NL"/>
        </w:rPr>
        <w:t>it is opvallend omdat</w:t>
      </w:r>
      <w:r w:rsidR="00483734" w:rsidRPr="00483734">
        <w:rPr>
          <w:lang w:val="nl-NL"/>
        </w:rPr>
        <w:t xml:space="preserve"> X BV in eerste instantie geen afnemer kon zijn van de adviesdiensten verricht door de dienstverleners omdat die rechtsbetrekking juist ontbrak</w:t>
      </w:r>
      <w:r w:rsidR="00A2000E">
        <w:rPr>
          <w:lang w:val="nl-NL"/>
        </w:rPr>
        <w:t xml:space="preserve"> (althans bleek dat een andere (rechts)persoon wel een contractuele relatie was aangegaan met de dienstverleners)</w:t>
      </w:r>
      <w:r w:rsidR="00483734" w:rsidRPr="00483734">
        <w:rPr>
          <w:lang w:val="nl-NL"/>
        </w:rPr>
        <w:t xml:space="preserve">. </w:t>
      </w:r>
      <w:r w:rsidR="00A2000E">
        <w:rPr>
          <w:lang w:val="nl-NL"/>
        </w:rPr>
        <w:t xml:space="preserve">Nu sluiten wij niet uit dat btw-technisch een rechtsbetrekking valt te construeren zonder dat sprake is van een overeenkomst in civielrechtelijke zin. </w:t>
      </w:r>
      <w:r w:rsidR="00483734" w:rsidRPr="00483734">
        <w:rPr>
          <w:lang w:val="nl-NL"/>
        </w:rPr>
        <w:t xml:space="preserve">Het is </w:t>
      </w:r>
      <w:r w:rsidR="00A2000E">
        <w:rPr>
          <w:lang w:val="nl-NL"/>
        </w:rPr>
        <w:t>daarentegen wel</w:t>
      </w:r>
      <w:r w:rsidR="00483734" w:rsidRPr="00483734">
        <w:rPr>
          <w:lang w:val="nl-NL"/>
        </w:rPr>
        <w:t xml:space="preserve"> moeilijk</w:t>
      </w:r>
      <w:r w:rsidR="00A2000E">
        <w:rPr>
          <w:lang w:val="nl-NL"/>
        </w:rPr>
        <w:t>er</w:t>
      </w:r>
      <w:r w:rsidR="00483734" w:rsidRPr="00483734">
        <w:rPr>
          <w:lang w:val="nl-NL"/>
        </w:rPr>
        <w:t xml:space="preserve"> te begrijpen dat het hof de betalingen </w:t>
      </w:r>
      <w:r w:rsidR="004A7690">
        <w:rPr>
          <w:lang w:val="nl-NL"/>
        </w:rPr>
        <w:t>van</w:t>
      </w:r>
      <w:r w:rsidR="00483734" w:rsidRPr="00483734">
        <w:rPr>
          <w:lang w:val="nl-NL"/>
        </w:rPr>
        <w:t xml:space="preserve"> X BV als tegenprestatie voor de diensten van A SA aanmerkt op basis van de </w:t>
      </w:r>
      <w:r w:rsidR="003C7432">
        <w:rPr>
          <w:lang w:val="nl-NL"/>
        </w:rPr>
        <w:t>afspraken in de F</w:t>
      </w:r>
      <w:r w:rsidR="00483734" w:rsidRPr="00483734">
        <w:rPr>
          <w:lang w:val="nl-NL"/>
        </w:rPr>
        <w:t>ee A</w:t>
      </w:r>
      <w:r w:rsidR="003C7432">
        <w:rPr>
          <w:lang w:val="nl-NL"/>
        </w:rPr>
        <w:t>rrangement</w:t>
      </w:r>
      <w:r w:rsidR="00483734" w:rsidRPr="00483734">
        <w:rPr>
          <w:lang w:val="nl-NL"/>
        </w:rPr>
        <w:t xml:space="preserve"> die </w:t>
      </w:r>
      <w:r w:rsidR="003C7432">
        <w:rPr>
          <w:lang w:val="nl-NL"/>
        </w:rPr>
        <w:t xml:space="preserve">is afgesloten tussen </w:t>
      </w:r>
      <w:r w:rsidR="00483734" w:rsidRPr="00483734">
        <w:rPr>
          <w:lang w:val="nl-NL"/>
        </w:rPr>
        <w:t xml:space="preserve">X BV </w:t>
      </w:r>
      <w:r w:rsidR="003C7432">
        <w:rPr>
          <w:lang w:val="nl-NL"/>
        </w:rPr>
        <w:t xml:space="preserve">en </w:t>
      </w:r>
      <w:r w:rsidR="00483734" w:rsidRPr="00483734">
        <w:rPr>
          <w:lang w:val="nl-NL"/>
        </w:rPr>
        <w:t xml:space="preserve">A </w:t>
      </w:r>
      <w:proofErr w:type="spellStart"/>
      <w:r w:rsidR="00483734" w:rsidRPr="00483734">
        <w:rPr>
          <w:lang w:val="nl-NL"/>
        </w:rPr>
        <w:t>Hol</w:t>
      </w:r>
      <w:r w:rsidR="00251011">
        <w:rPr>
          <w:lang w:val="nl-NL"/>
        </w:rPr>
        <w:t>d</w:t>
      </w:r>
      <w:r w:rsidR="00483734" w:rsidRPr="00483734">
        <w:rPr>
          <w:lang w:val="nl-NL"/>
        </w:rPr>
        <w:t>co</w:t>
      </w:r>
      <w:proofErr w:type="spellEnd"/>
      <w:r w:rsidR="00A2000E">
        <w:rPr>
          <w:lang w:val="nl-NL"/>
        </w:rPr>
        <w:t xml:space="preserve"> (omdat het A SA is die alsdan als dienstverlener wordt gezien zonder dat hij kennis behoeft te hebben van deze feiten. Natuurlijk heeft X BV door de verleggingsregel zelf een </w:t>
      </w:r>
      <w:proofErr w:type="spellStart"/>
      <w:r w:rsidR="00A2000E">
        <w:rPr>
          <w:lang w:val="nl-NL"/>
        </w:rPr>
        <w:t>onderzoeksplicht</w:t>
      </w:r>
      <w:proofErr w:type="spellEnd"/>
      <w:r w:rsidR="00A2000E">
        <w:rPr>
          <w:lang w:val="nl-NL"/>
        </w:rPr>
        <w:t xml:space="preserve"> of hij een belastbare dienst heeft afgenomen, maar in situaties waarbij de dienstverlening bijvoorbeeld niet grensoverschrijdend is komt toch naar voren dat van de dienstverlener niet mag worden verwacht – om vast te stellen dat zijn dienst belastbaar is – dat hij feiten nagaat die uitsluitend bekend zijn in de relatie die zijn (vermeende) afnemer onderhoudt met derden (in </w:t>
      </w:r>
      <w:proofErr w:type="spellStart"/>
      <w:r w:rsidR="00A2000E">
        <w:rPr>
          <w:lang w:val="nl-NL"/>
        </w:rPr>
        <w:t>casu</w:t>
      </w:r>
      <w:proofErr w:type="spellEnd"/>
      <w:r w:rsidR="00A2000E">
        <w:rPr>
          <w:lang w:val="nl-NL"/>
        </w:rPr>
        <w:t xml:space="preserve"> </w:t>
      </w:r>
      <w:r w:rsidR="005F7293">
        <w:rPr>
          <w:lang w:val="nl-NL"/>
        </w:rPr>
        <w:t xml:space="preserve">dus tussen X BV en </w:t>
      </w:r>
      <w:r w:rsidR="00A2000E">
        <w:rPr>
          <w:lang w:val="nl-NL"/>
        </w:rPr>
        <w:t>A</w:t>
      </w:r>
      <w:r w:rsidR="00421B0A">
        <w:rPr>
          <w:lang w:val="nl-NL"/>
        </w:rPr>
        <w:t xml:space="preserve"> </w:t>
      </w:r>
      <w:proofErr w:type="spellStart"/>
      <w:r w:rsidR="00421B0A">
        <w:rPr>
          <w:lang w:val="nl-NL"/>
        </w:rPr>
        <w:t>Hold</w:t>
      </w:r>
      <w:r w:rsidR="00251011">
        <w:rPr>
          <w:lang w:val="nl-NL"/>
        </w:rPr>
        <w:t>co</w:t>
      </w:r>
      <w:proofErr w:type="spellEnd"/>
      <w:r w:rsidR="005F7293">
        <w:rPr>
          <w:lang w:val="nl-NL"/>
        </w:rPr>
        <w:t>)</w:t>
      </w:r>
      <w:r w:rsidR="00251011">
        <w:rPr>
          <w:lang w:val="nl-NL"/>
        </w:rPr>
        <w:t xml:space="preserve">. Dit pleit er dan ook voor om ook bij grensoverschrijdende transacties </w:t>
      </w:r>
      <w:r w:rsidR="005F7293">
        <w:rPr>
          <w:lang w:val="nl-NL"/>
        </w:rPr>
        <w:t xml:space="preserve">met het oog op de vaststelling van de belastbaarheid van een doorbelasting </w:t>
      </w:r>
      <w:r w:rsidR="00251011">
        <w:rPr>
          <w:lang w:val="nl-NL"/>
        </w:rPr>
        <w:t>geen feiten in de beoordeling te betrekken die niet bekend zijn of kunnen zijn bij de dienstverlener</w:t>
      </w:r>
      <w:r w:rsidR="00421B0A">
        <w:rPr>
          <w:lang w:val="nl-NL"/>
        </w:rPr>
        <w:t>)</w:t>
      </w:r>
      <w:r w:rsidR="00483734" w:rsidRPr="00483734">
        <w:rPr>
          <w:lang w:val="nl-NL"/>
        </w:rPr>
        <w:t>. Dit zou wat ons betreft anders zijn geweest indien tussen A SA en X BV een overeenkomst was gesloten vergelijkbaar met de Fee Arrangement.</w:t>
      </w:r>
    </w:p>
    <w:p w14:paraId="4EABBADC" w14:textId="42D07702" w:rsidR="004A7690" w:rsidRPr="00483734" w:rsidRDefault="004A7690" w:rsidP="00483734">
      <w:pPr>
        <w:pStyle w:val="BodyText"/>
        <w:rPr>
          <w:lang w:val="nl-NL"/>
        </w:rPr>
      </w:pPr>
      <w:r>
        <w:rPr>
          <w:lang w:val="nl-NL"/>
        </w:rPr>
        <w:t>Voor de praktijk is van belang (uitgaande van een vergelijkbare situatie) dat blijkbaar op het moment dat een bepaald voordeel wordt verschaft aan een partij in de structuur, dit kan leiden tot een (tweede) dienst onder bezwarende titel</w:t>
      </w:r>
      <w:r w:rsidR="005F7293">
        <w:rPr>
          <w:lang w:val="nl-NL"/>
        </w:rPr>
        <w:t xml:space="preserve"> (althans als men het hof volgt)</w:t>
      </w:r>
      <w:r>
        <w:rPr>
          <w:lang w:val="nl-NL"/>
        </w:rPr>
        <w:t>. Dit geldt voor de situatie waarin de ‘verbruikende’ partij betalingen verricht die betrekking hebben op dat voordeel. Dit lijkt tot gevolg te hebben dat niet één maar twee prestaties zijn te onderkennen, namelijk (i) de prestaties die over en weer plaatsvinden tussen dienstverrichters en de partij die de rechtsbetrekking is aangegaan, en (ii) tussen de partij die de rechtsbetrekking is aangegaan en de partij die het genot c.q. verbruik van die diensten heeft en daarvoor betaal</w:t>
      </w:r>
      <w:r w:rsidR="005F7293">
        <w:rPr>
          <w:lang w:val="nl-NL"/>
        </w:rPr>
        <w:t>t</w:t>
      </w:r>
      <w:r>
        <w:rPr>
          <w:lang w:val="nl-NL"/>
        </w:rPr>
        <w:t xml:space="preserve">. </w:t>
      </w:r>
      <w:r w:rsidR="006C10C2">
        <w:rPr>
          <w:lang w:val="nl-NL"/>
        </w:rPr>
        <w:t xml:space="preserve">De vraag hoe een </w:t>
      </w:r>
      <w:r w:rsidR="005F7293">
        <w:rPr>
          <w:lang w:val="nl-NL"/>
        </w:rPr>
        <w:t xml:space="preserve">btw-relevante </w:t>
      </w:r>
      <w:r w:rsidR="006C10C2">
        <w:rPr>
          <w:lang w:val="nl-NL"/>
        </w:rPr>
        <w:t xml:space="preserve">rechtsbetrekking tot stand kan </w:t>
      </w:r>
      <w:r w:rsidR="006C10C2">
        <w:rPr>
          <w:lang w:val="nl-NL"/>
        </w:rPr>
        <w:lastRenderedPageBreak/>
        <w:t>komen in dat geval is nog onduidelijk</w:t>
      </w:r>
      <w:r w:rsidR="005F7293">
        <w:rPr>
          <w:lang w:val="nl-NL"/>
        </w:rPr>
        <w:t xml:space="preserve"> c.q. onder vergelijkbare omstandigheden als in de onderhavige zaak, betwistbaar</w:t>
      </w:r>
      <w:r w:rsidR="006C10C2">
        <w:rPr>
          <w:lang w:val="nl-NL"/>
        </w:rPr>
        <w:t xml:space="preserve">. </w:t>
      </w:r>
    </w:p>
    <w:p w14:paraId="409BE8B9" w14:textId="3BD9E14B" w:rsidR="00483734" w:rsidRPr="00483734" w:rsidRDefault="00483734" w:rsidP="00483734">
      <w:pPr>
        <w:pStyle w:val="BodyText"/>
        <w:rPr>
          <w:i/>
          <w:iCs/>
          <w:lang w:val="nl-NL"/>
        </w:rPr>
      </w:pPr>
      <w:r w:rsidRPr="00483734">
        <w:rPr>
          <w:i/>
          <w:iCs/>
          <w:lang w:val="nl-NL"/>
        </w:rPr>
        <w:t xml:space="preserve">Afnemer van de prestatie – </w:t>
      </w:r>
      <w:r w:rsidR="00625773">
        <w:rPr>
          <w:i/>
          <w:iCs/>
          <w:lang w:val="nl-NL"/>
        </w:rPr>
        <w:t xml:space="preserve">verschillende </w:t>
      </w:r>
      <w:r w:rsidR="00A41187">
        <w:rPr>
          <w:i/>
          <w:iCs/>
          <w:lang w:val="nl-NL"/>
        </w:rPr>
        <w:t>aanknopingspunten</w:t>
      </w:r>
    </w:p>
    <w:p w14:paraId="59505984" w14:textId="633FCD04" w:rsidR="00DB28AE" w:rsidRDefault="002F72B5" w:rsidP="00DB28AE">
      <w:pPr>
        <w:pStyle w:val="BodyText"/>
        <w:rPr>
          <w:lang w:val="nl-NL"/>
        </w:rPr>
      </w:pPr>
      <w:r>
        <w:rPr>
          <w:lang w:val="nl-NL"/>
        </w:rPr>
        <w:t xml:space="preserve">Wij wijden nog enkele gedachten aan de conclusie die het hof trekt dat degene die de overeenkomst is aangegaan de afnemer is van de prestatie (en alle andere bewijsvermoedens opzijzet). </w:t>
      </w:r>
      <w:r w:rsidR="00DB28AE" w:rsidRPr="00483734">
        <w:rPr>
          <w:lang w:val="nl-NL"/>
        </w:rPr>
        <w:t>De afnemer is in principe de ondernemer die het contract c.q. de rechtsbetrekking aangaat, de factuur ontvangt (en betaal</w:t>
      </w:r>
      <w:r w:rsidR="00CE7D7C">
        <w:rPr>
          <w:lang w:val="nl-NL"/>
        </w:rPr>
        <w:t>t</w:t>
      </w:r>
      <w:r w:rsidR="00DB28AE" w:rsidRPr="00483734">
        <w:rPr>
          <w:lang w:val="nl-NL"/>
        </w:rPr>
        <w:t xml:space="preserve">) en het goed of de dienst feitelijk afneemt c.q. verbruikt. In beginsel zijn er dus vier factoren (d.w.z. rechtsbetrekking, factuur, betaling en verbruik) die een rol spelen bij het bepalen </w:t>
      </w:r>
      <w:r w:rsidR="001200AA">
        <w:rPr>
          <w:lang w:val="nl-NL"/>
        </w:rPr>
        <w:t>wie</w:t>
      </w:r>
      <w:r w:rsidR="00DB28AE" w:rsidRPr="00483734">
        <w:rPr>
          <w:lang w:val="nl-NL"/>
        </w:rPr>
        <w:t xml:space="preserve"> de afnemer van een prestatie</w:t>
      </w:r>
      <w:r w:rsidR="001200AA">
        <w:rPr>
          <w:lang w:val="nl-NL"/>
        </w:rPr>
        <w:t xml:space="preserve"> is</w:t>
      </w:r>
      <w:r w:rsidR="00DB28AE" w:rsidRPr="00483734">
        <w:rPr>
          <w:lang w:val="nl-NL"/>
        </w:rPr>
        <w:t xml:space="preserve">. </w:t>
      </w:r>
    </w:p>
    <w:p w14:paraId="6C15841B" w14:textId="65E72E10" w:rsidR="00483734" w:rsidRPr="00483734" w:rsidRDefault="00483734" w:rsidP="00483734">
      <w:pPr>
        <w:pStyle w:val="BodyText"/>
        <w:rPr>
          <w:lang w:val="nl-NL"/>
        </w:rPr>
      </w:pPr>
      <w:r w:rsidRPr="00483734">
        <w:rPr>
          <w:lang w:val="nl-NL"/>
        </w:rPr>
        <w:t>In de onderhavige zaak ligt de betaling, de factuur en het verbruik (althans zo oordeelt het hof) van de ingekochte diensten bij X BV. Desondanks is het hof van meni</w:t>
      </w:r>
      <w:r w:rsidR="00CE7D7C">
        <w:rPr>
          <w:lang w:val="nl-NL"/>
        </w:rPr>
        <w:t>n</w:t>
      </w:r>
      <w:r w:rsidRPr="00483734">
        <w:rPr>
          <w:lang w:val="nl-NL"/>
        </w:rPr>
        <w:t xml:space="preserve">g dat degene die de opdracht heeft verstrekt (A SA), de afnemer van de prestatie is. </w:t>
      </w:r>
      <w:r w:rsidR="00CE7D7C">
        <w:rPr>
          <w:lang w:val="nl-NL"/>
        </w:rPr>
        <w:t>In de jurisprudentie zien wij evenwel regelmatig dat het Hof van Justitie de begunstigde van de prestatie als afnemer aanmerkt zonder zich veel te bekommeren over de vraag of deze begunstigde ook de contractspartij is van de presterende ondernemer.</w:t>
      </w:r>
      <w:r w:rsidRPr="00483734">
        <w:rPr>
          <w:lang w:val="nl-NL"/>
        </w:rPr>
        <w:t xml:space="preserve"> In de zaak Paul </w:t>
      </w:r>
      <w:proofErr w:type="spellStart"/>
      <w:r w:rsidRPr="00483734">
        <w:rPr>
          <w:lang w:val="nl-NL"/>
        </w:rPr>
        <w:t>Newey</w:t>
      </w:r>
      <w:proofErr w:type="spellEnd"/>
      <w:r w:rsidRPr="00483734">
        <w:rPr>
          <w:lang w:val="nl-NL"/>
        </w:rPr>
        <w:t xml:space="preserve"> oordeelde het Hof van Justitie zelfs dat de contractuele bepalingen weliswaar een in aanmerking te nemen factor vormen, maar niet per definitie een doorslaggevende factor is bij het vaststellen van de dienstverrichter en de ontvanger. </w:t>
      </w:r>
    </w:p>
    <w:p w14:paraId="30EF80FA" w14:textId="1B469C74" w:rsidR="00483734" w:rsidRPr="00483734" w:rsidRDefault="00AE2920" w:rsidP="00483734">
      <w:pPr>
        <w:pStyle w:val="BodyText"/>
        <w:rPr>
          <w:lang w:val="nl-NL"/>
        </w:rPr>
      </w:pPr>
      <w:r>
        <w:rPr>
          <w:lang w:val="nl-NL"/>
        </w:rPr>
        <w:t xml:space="preserve">Het Hof heeft ten aanzien van de transactie tussen de dienstverleners en A SA overwogen dat het vinden van de afnemer kan geschieden door na te gaan met wie een overeenkomst is gesloten maar het had op basis van de jurisprudentie van het </w:t>
      </w:r>
      <w:proofErr w:type="spellStart"/>
      <w:r>
        <w:rPr>
          <w:lang w:val="nl-NL"/>
        </w:rPr>
        <w:t>HvJ</w:t>
      </w:r>
      <w:proofErr w:type="spellEnd"/>
      <w:r>
        <w:rPr>
          <w:lang w:val="nl-NL"/>
        </w:rPr>
        <w:t xml:space="preserve"> </w:t>
      </w:r>
      <w:proofErr w:type="gramStart"/>
      <w:r w:rsidR="00CE7D7C">
        <w:rPr>
          <w:lang w:val="nl-NL"/>
        </w:rPr>
        <w:t>ons inziens</w:t>
      </w:r>
      <w:proofErr w:type="gramEnd"/>
      <w:r w:rsidR="00CE7D7C">
        <w:rPr>
          <w:lang w:val="nl-NL"/>
        </w:rPr>
        <w:t xml:space="preserve"> dienen af te wegen tegen de zienswijze dat de direct begunstigde de afnemer is van de prestatie. </w:t>
      </w:r>
      <w:r w:rsidR="00483734" w:rsidRPr="00483734">
        <w:rPr>
          <w:lang w:val="nl-NL"/>
        </w:rPr>
        <w:t xml:space="preserve">Dan had het hof </w:t>
      </w:r>
      <w:r w:rsidR="00F071F1">
        <w:rPr>
          <w:lang w:val="nl-NL"/>
        </w:rPr>
        <w:t>wellicht</w:t>
      </w:r>
      <w:r w:rsidR="00483734" w:rsidRPr="00483734">
        <w:rPr>
          <w:lang w:val="nl-NL"/>
        </w:rPr>
        <w:t xml:space="preserve"> kunnen oordelen dat X BV afnemer van de prestatie is nu zij al eerder had betoogd dat X BV </w:t>
      </w:r>
      <w:r w:rsidR="00233C77">
        <w:rPr>
          <w:lang w:val="nl-NL"/>
        </w:rPr>
        <w:t xml:space="preserve">voordeel had genoten van </w:t>
      </w:r>
      <w:r w:rsidR="00483734" w:rsidRPr="00483734">
        <w:rPr>
          <w:lang w:val="nl-NL"/>
        </w:rPr>
        <w:t xml:space="preserve">de adviesdiensten </w:t>
      </w:r>
      <w:r w:rsidR="00233C77">
        <w:rPr>
          <w:lang w:val="nl-NL"/>
        </w:rPr>
        <w:t xml:space="preserve">en </w:t>
      </w:r>
      <w:r w:rsidR="00483734" w:rsidRPr="00483734">
        <w:rPr>
          <w:lang w:val="nl-NL"/>
        </w:rPr>
        <w:t xml:space="preserve">voor 75% had verbruikt voor haar economische activiteiten. </w:t>
      </w:r>
      <w:r w:rsidR="00F071F1">
        <w:rPr>
          <w:lang w:val="nl-NL"/>
        </w:rPr>
        <w:t>Als die lijn was gevolgd</w:t>
      </w:r>
      <w:r w:rsidR="00483734" w:rsidRPr="00483734">
        <w:rPr>
          <w:lang w:val="nl-NL"/>
        </w:rPr>
        <w:t xml:space="preserve"> dan </w:t>
      </w:r>
      <w:r w:rsidR="00F071F1">
        <w:rPr>
          <w:lang w:val="nl-NL"/>
        </w:rPr>
        <w:t xml:space="preserve">was het </w:t>
      </w:r>
      <w:r w:rsidR="00483734" w:rsidRPr="00483734">
        <w:rPr>
          <w:lang w:val="nl-NL"/>
        </w:rPr>
        <w:t>ook niet nodig geweest om een rechtsbetrekking te veronderstellen tussen A SA (als afnemer van de adviesdiensten) en X BV (die betaal</w:t>
      </w:r>
      <w:r w:rsidR="003A60BA">
        <w:rPr>
          <w:lang w:val="nl-NL"/>
        </w:rPr>
        <w:t>t</w:t>
      </w:r>
      <w:r w:rsidR="00483734" w:rsidRPr="00483734">
        <w:rPr>
          <w:lang w:val="nl-NL"/>
        </w:rPr>
        <w:t xml:space="preserve"> als tegenprestatie voor de adviesdiensten). </w:t>
      </w:r>
      <w:r w:rsidR="00F071F1">
        <w:rPr>
          <w:lang w:val="nl-NL"/>
        </w:rPr>
        <w:t xml:space="preserve"> Een en ander laat onverlet dat vanuit het oogpunt van rechtszekerheid de gedachte dat de afnemer dient te worden gevonden langs de contractuele lijnen de betere optie is.</w:t>
      </w:r>
    </w:p>
    <w:p w14:paraId="6F33C3B2" w14:textId="77777777" w:rsidR="00483734" w:rsidRPr="00483734" w:rsidRDefault="00483734" w:rsidP="00483734">
      <w:pPr>
        <w:pStyle w:val="BodyText"/>
        <w:rPr>
          <w:i/>
          <w:iCs/>
          <w:lang w:val="nl-NL"/>
        </w:rPr>
      </w:pPr>
      <w:r w:rsidRPr="00483734">
        <w:rPr>
          <w:i/>
          <w:iCs/>
          <w:lang w:val="nl-NL"/>
        </w:rPr>
        <w:t>Afnemer van de prestatie - andere afnemers mogelijk?</w:t>
      </w:r>
    </w:p>
    <w:p w14:paraId="77CA86B9" w14:textId="7D756133" w:rsidR="00483734" w:rsidRPr="00483734" w:rsidRDefault="00F071F1" w:rsidP="00483734">
      <w:pPr>
        <w:pStyle w:val="BodyText"/>
        <w:rPr>
          <w:lang w:val="nl-NL"/>
        </w:rPr>
      </w:pPr>
      <w:r>
        <w:rPr>
          <w:lang w:val="nl-NL"/>
        </w:rPr>
        <w:t xml:space="preserve">Keren wij terug naar de vraag of X BV de afnemer is van de prestatie die A SA aan haar zou hebben verricht (volgens het Hof) </w:t>
      </w:r>
      <w:r w:rsidR="003A60BA">
        <w:rPr>
          <w:lang w:val="nl-NL"/>
        </w:rPr>
        <w:t xml:space="preserve">(de tweede transactie dus) dan merken we nog </w:t>
      </w:r>
      <w:proofErr w:type="spellStart"/>
      <w:r w:rsidR="003A60BA">
        <w:rPr>
          <w:lang w:val="nl-NL"/>
        </w:rPr>
        <w:t>hetvolgende</w:t>
      </w:r>
      <w:proofErr w:type="spellEnd"/>
      <w:r w:rsidR="003A60BA">
        <w:rPr>
          <w:lang w:val="nl-NL"/>
        </w:rPr>
        <w:t xml:space="preserve"> op. De vraag is </w:t>
      </w:r>
      <w:proofErr w:type="spellStart"/>
      <w:r w:rsidR="003A60BA">
        <w:rPr>
          <w:lang w:val="nl-NL"/>
        </w:rPr>
        <w:t>of</w:t>
      </w:r>
      <w:r w:rsidR="00483734" w:rsidRPr="00483734">
        <w:rPr>
          <w:lang w:val="nl-NL"/>
        </w:rPr>
        <w:t>een</w:t>
      </w:r>
      <w:proofErr w:type="spellEnd"/>
      <w:r w:rsidR="00483734" w:rsidRPr="00483734">
        <w:rPr>
          <w:lang w:val="nl-NL"/>
        </w:rPr>
        <w:t xml:space="preserve"> andere afnemer </w:t>
      </w:r>
      <w:r w:rsidR="003A60BA">
        <w:rPr>
          <w:lang w:val="nl-NL"/>
        </w:rPr>
        <w:t xml:space="preserve">(van de doorbelasting door A SA) </w:t>
      </w:r>
      <w:r w:rsidR="00483734" w:rsidRPr="00483734">
        <w:rPr>
          <w:lang w:val="nl-NL"/>
        </w:rPr>
        <w:t xml:space="preserve">in de onderhavige zaak </w:t>
      </w:r>
      <w:r>
        <w:rPr>
          <w:lang w:val="nl-NL"/>
        </w:rPr>
        <w:t xml:space="preserve">niet ook tot de mogelijkheden had </w:t>
      </w:r>
      <w:proofErr w:type="spellStart"/>
      <w:r>
        <w:rPr>
          <w:lang w:val="nl-NL"/>
        </w:rPr>
        <w:t>behoord</w:t>
      </w:r>
      <w:r w:rsidR="00483734" w:rsidRPr="00483734">
        <w:rPr>
          <w:lang w:val="nl-NL"/>
        </w:rPr>
        <w:t>t</w:t>
      </w:r>
      <w:proofErr w:type="spellEnd"/>
      <w:r w:rsidR="00483734" w:rsidRPr="00483734">
        <w:rPr>
          <w:lang w:val="nl-NL"/>
        </w:rPr>
        <w:t xml:space="preserve">. </w:t>
      </w:r>
      <w:r>
        <w:rPr>
          <w:lang w:val="nl-NL"/>
        </w:rPr>
        <w:t xml:space="preserve">Zo ligt het </w:t>
      </w:r>
      <w:r w:rsidR="003A60BA">
        <w:rPr>
          <w:lang w:val="nl-NL"/>
        </w:rPr>
        <w:t xml:space="preserve">feitelijk </w:t>
      </w:r>
      <w:r w:rsidR="00483734" w:rsidRPr="00483734">
        <w:rPr>
          <w:lang w:val="nl-NL"/>
        </w:rPr>
        <w:t xml:space="preserve">genot van de prestaties </w:t>
      </w:r>
      <w:r>
        <w:rPr>
          <w:lang w:val="nl-NL"/>
        </w:rPr>
        <w:t xml:space="preserve">mogelijk </w:t>
      </w:r>
      <w:r w:rsidR="00483734" w:rsidRPr="00483734">
        <w:rPr>
          <w:lang w:val="nl-NL"/>
        </w:rPr>
        <w:t xml:space="preserve">wel bij A </w:t>
      </w:r>
      <w:proofErr w:type="spellStart"/>
      <w:r w:rsidR="00483734" w:rsidRPr="00483734">
        <w:rPr>
          <w:lang w:val="nl-NL"/>
        </w:rPr>
        <w:t>Holdco</w:t>
      </w:r>
      <w:proofErr w:type="spellEnd"/>
      <w:r w:rsidR="00483734" w:rsidRPr="00483734">
        <w:rPr>
          <w:lang w:val="nl-NL"/>
        </w:rPr>
        <w:t xml:space="preserve"> SL. Het doel van de hele structuur is om de activiteiten van A SA te herfinancieren en een deel van het belang in deze entiteit te vervreemden. A </w:t>
      </w:r>
      <w:proofErr w:type="spellStart"/>
      <w:r w:rsidR="00483734" w:rsidRPr="00483734">
        <w:rPr>
          <w:lang w:val="nl-NL"/>
        </w:rPr>
        <w:t>Holco</w:t>
      </w:r>
      <w:proofErr w:type="spellEnd"/>
      <w:r w:rsidR="00483734" w:rsidRPr="00483734">
        <w:rPr>
          <w:lang w:val="nl-NL"/>
        </w:rPr>
        <w:t xml:space="preserve"> SL als 100% aandeelhouder van A SA heeft daar hoogstwaarschijnlijk het meeste profijt van. In dat kader was het wellicht logischer geweest als A SA de kosten niet had ‘doorbelast’ aan X BV maar aan A </w:t>
      </w:r>
      <w:proofErr w:type="spellStart"/>
      <w:r w:rsidR="00483734" w:rsidRPr="00483734">
        <w:rPr>
          <w:lang w:val="nl-NL"/>
        </w:rPr>
        <w:t>Holdco</w:t>
      </w:r>
      <w:proofErr w:type="spellEnd"/>
      <w:r w:rsidR="00483734" w:rsidRPr="00483734">
        <w:rPr>
          <w:lang w:val="nl-NL"/>
        </w:rPr>
        <w:t xml:space="preserve"> SL. Het valt dan ook niet uit te sluiten dat bijvoorbeeld de Spaanse belastingdienst eenzelfde standpunt inneemt en A </w:t>
      </w:r>
      <w:proofErr w:type="spellStart"/>
      <w:r w:rsidR="00483734" w:rsidRPr="00483734">
        <w:rPr>
          <w:lang w:val="nl-NL"/>
        </w:rPr>
        <w:t>Holdco</w:t>
      </w:r>
      <w:proofErr w:type="spellEnd"/>
      <w:r w:rsidR="00483734" w:rsidRPr="00483734">
        <w:rPr>
          <w:lang w:val="nl-NL"/>
        </w:rPr>
        <w:t xml:space="preserve"> SL aanmerkt als afnemer van de prestaties. A </w:t>
      </w:r>
      <w:proofErr w:type="spellStart"/>
      <w:r w:rsidR="00483734" w:rsidRPr="00483734">
        <w:rPr>
          <w:lang w:val="nl-NL"/>
        </w:rPr>
        <w:t>Holco</w:t>
      </w:r>
      <w:proofErr w:type="spellEnd"/>
      <w:r w:rsidR="00483734" w:rsidRPr="00483734">
        <w:rPr>
          <w:lang w:val="nl-NL"/>
        </w:rPr>
        <w:t xml:space="preserve"> SL heeft uiteindelijk toch de rekening betaald. Dat brengt met zich dat A </w:t>
      </w:r>
      <w:proofErr w:type="spellStart"/>
      <w:r w:rsidR="00483734" w:rsidRPr="00483734">
        <w:rPr>
          <w:lang w:val="nl-NL"/>
        </w:rPr>
        <w:t>Holdco</w:t>
      </w:r>
      <w:proofErr w:type="spellEnd"/>
      <w:r w:rsidR="00483734" w:rsidRPr="00483734">
        <w:rPr>
          <w:lang w:val="nl-NL"/>
        </w:rPr>
        <w:t xml:space="preserve"> SL Spaanse btw in rekening gebracht had moeten krijgen van A SA. Mocht een dergelijk standpunt inderdaad worden ingenomen door de Spaanse fiscus, dan betekent dat dubbele heffing van omzetbelasting omdat de diensten</w:t>
      </w:r>
      <w:r w:rsidR="00233C77">
        <w:rPr>
          <w:lang w:val="nl-NL"/>
        </w:rPr>
        <w:t xml:space="preserve"> zowel</w:t>
      </w:r>
      <w:r w:rsidR="00483734" w:rsidRPr="00483734">
        <w:rPr>
          <w:lang w:val="nl-NL"/>
        </w:rPr>
        <w:t xml:space="preserve"> in Nederland </w:t>
      </w:r>
      <w:r w:rsidR="00233C77">
        <w:rPr>
          <w:lang w:val="nl-NL"/>
        </w:rPr>
        <w:t>als</w:t>
      </w:r>
      <w:r w:rsidR="00483734" w:rsidRPr="00483734">
        <w:rPr>
          <w:lang w:val="nl-NL"/>
        </w:rPr>
        <w:t xml:space="preserve"> in Spanje belastbaar worden geacht. </w:t>
      </w:r>
    </w:p>
    <w:p w14:paraId="12DD8E0E" w14:textId="77777777" w:rsidR="003F7F20" w:rsidRDefault="003F7F20" w:rsidP="00483734">
      <w:pPr>
        <w:pStyle w:val="BodyText"/>
        <w:rPr>
          <w:i/>
          <w:iCs/>
          <w:lang w:val="nl-NL"/>
        </w:rPr>
      </w:pPr>
    </w:p>
    <w:p w14:paraId="2F9F56DA" w14:textId="3316F5B9" w:rsidR="00483734" w:rsidRPr="00483734" w:rsidRDefault="00483734" w:rsidP="00483734">
      <w:pPr>
        <w:pStyle w:val="BodyText"/>
        <w:rPr>
          <w:i/>
          <w:iCs/>
          <w:lang w:val="nl-NL"/>
        </w:rPr>
      </w:pPr>
      <w:r w:rsidRPr="00483734">
        <w:rPr>
          <w:i/>
          <w:iCs/>
          <w:lang w:val="nl-NL"/>
        </w:rPr>
        <w:lastRenderedPageBreak/>
        <w:t xml:space="preserve">Recht op aftrek van </w:t>
      </w:r>
      <w:proofErr w:type="gramStart"/>
      <w:r w:rsidRPr="00483734">
        <w:rPr>
          <w:i/>
          <w:iCs/>
          <w:lang w:val="nl-NL"/>
        </w:rPr>
        <w:t>voorbelasting /</w:t>
      </w:r>
      <w:proofErr w:type="gramEnd"/>
      <w:r w:rsidRPr="00483734">
        <w:rPr>
          <w:i/>
          <w:iCs/>
          <w:lang w:val="nl-NL"/>
        </w:rPr>
        <w:t xml:space="preserve"> kostendoorbelasting</w:t>
      </w:r>
    </w:p>
    <w:p w14:paraId="0ED3B58D" w14:textId="0745BD09" w:rsidR="00483734" w:rsidRPr="00483734" w:rsidRDefault="00483734" w:rsidP="00483734">
      <w:pPr>
        <w:pStyle w:val="BodyText"/>
        <w:rPr>
          <w:lang w:val="nl-NL"/>
        </w:rPr>
      </w:pPr>
      <w:r w:rsidRPr="00483734">
        <w:rPr>
          <w:lang w:val="nl-NL"/>
        </w:rPr>
        <w:t xml:space="preserve">Uit de zaak volgen in feite twee type kostendoorbelastingen. De kostendoorbelasting van X BV aan A </w:t>
      </w:r>
      <w:proofErr w:type="spellStart"/>
      <w:r w:rsidRPr="00483734">
        <w:rPr>
          <w:lang w:val="nl-NL"/>
        </w:rPr>
        <w:t>Holdco</w:t>
      </w:r>
      <w:proofErr w:type="spellEnd"/>
      <w:r w:rsidRPr="00483734">
        <w:rPr>
          <w:lang w:val="nl-NL"/>
        </w:rPr>
        <w:t xml:space="preserve"> SL op basis van de Fee Arrangement en de kosten die X BV heeft betaald als tegenprestatie (75%) aan A SA. Uit de feiten en omstandigheden in de zaak blijkt (o.a.) dat in de Fee Arrangement is opgenomen dat X BV haar gemaakte kosten ten aanzien van de </w:t>
      </w:r>
      <w:r w:rsidR="003A60BA">
        <w:rPr>
          <w:lang w:val="nl-NL"/>
        </w:rPr>
        <w:t>door</w:t>
      </w:r>
      <w:r w:rsidRPr="00483734">
        <w:rPr>
          <w:lang w:val="nl-NL"/>
        </w:rPr>
        <w:t xml:space="preserve">lening mag doorbelasten aan A </w:t>
      </w:r>
      <w:proofErr w:type="spellStart"/>
      <w:r w:rsidRPr="00483734">
        <w:rPr>
          <w:lang w:val="nl-NL"/>
        </w:rPr>
        <w:t>Holdco</w:t>
      </w:r>
      <w:proofErr w:type="spellEnd"/>
      <w:r w:rsidRPr="00483734">
        <w:rPr>
          <w:lang w:val="nl-NL"/>
        </w:rPr>
        <w:t xml:space="preserve"> SL. Op basis van de eenheid van prestatieleer gaan deze kosten op (‘absorptie’) in de door X BV verstrekte lening en kan geen afzonderlijke prestatie worden onderkend. Dat betekent evenwel dat de </w:t>
      </w:r>
      <w:proofErr w:type="spellStart"/>
      <w:r w:rsidRPr="00483734">
        <w:rPr>
          <w:lang w:val="nl-NL"/>
        </w:rPr>
        <w:t>verleggingsbtw</w:t>
      </w:r>
      <w:proofErr w:type="spellEnd"/>
      <w:r w:rsidRPr="00483734">
        <w:rPr>
          <w:lang w:val="nl-NL"/>
        </w:rPr>
        <w:t xml:space="preserve"> op de ingekochte adviesdiensten niet voor aftrek in aanmerking komen, aangezien deze kosten rechtstreek en onmiddellijk verband houden met de uitgaande activiteiten van X BV. Tot zover kunnen we het hof goed volgen.</w:t>
      </w:r>
    </w:p>
    <w:p w14:paraId="6AE89938" w14:textId="1971A9AF" w:rsidR="00483734" w:rsidRPr="00483734" w:rsidRDefault="00483734" w:rsidP="00483734">
      <w:pPr>
        <w:pStyle w:val="BodyText"/>
        <w:rPr>
          <w:lang w:val="nl-NL"/>
        </w:rPr>
      </w:pPr>
      <w:r w:rsidRPr="00483734">
        <w:rPr>
          <w:lang w:val="nl-NL"/>
        </w:rPr>
        <w:t>De kostendoorbelasting tussen A SA en X BV vormt een ander verhaal. Hoewel X BV de kosten van de adviesdiensten heeft betaald aan A SA, ligt die verplichting in eerste instantie bij A SA zelf. De betalingsverplichting wordt (veronderstel</w:t>
      </w:r>
      <w:r w:rsidR="0032115A">
        <w:rPr>
          <w:lang w:val="nl-NL"/>
        </w:rPr>
        <w:t>d</w:t>
      </w:r>
      <w:r w:rsidRPr="00483734">
        <w:rPr>
          <w:lang w:val="nl-NL"/>
        </w:rPr>
        <w:t xml:space="preserve">) overgenomen door X BV. Volgens het hof leidt dat tot een met btw belaste kostendoorbelasting van A SA aan X BV. Indien kan worden aangetoond dat X BV de betalingsverplichting heeft overgenomen, bijvoorbeeld op basis van emailverkeer, kan een rechtsbetrekking zijn ontstaan. Zoals eerder aangegeven vinden wij dat het hof dit niet voldoende heeft getoetst en is een dergelijke rechtsbetrekking tussen X BV en A SA niet vastgesteld. Voor de praktijk is van belang dat in soortgelijke situaties wordt nagegaan of het overnemen van een betalingsverplichting (schriftelijk) is vastgelegd, omdat dat – blijkens de opvatting van het hof – tot een belastbare kostendoorbelasting kan leiden. Dat is in ieder geval zo in de situatie waarbij de partij die de betalingsverplichting heeft overgenomen ook baat heeft bij de ingekochte diensten (verbruik). </w:t>
      </w:r>
    </w:p>
    <w:p w14:paraId="784ADF9E" w14:textId="77777777" w:rsidR="00483734" w:rsidRPr="00483734" w:rsidRDefault="00483734" w:rsidP="00483734">
      <w:pPr>
        <w:pStyle w:val="BodyText"/>
        <w:rPr>
          <w:i/>
          <w:iCs/>
          <w:lang w:val="nl-NL"/>
        </w:rPr>
      </w:pPr>
      <w:r w:rsidRPr="00483734">
        <w:rPr>
          <w:i/>
          <w:iCs/>
          <w:lang w:val="nl-NL"/>
        </w:rPr>
        <w:t>Commissionairsfictie en recht op aftrek van voorbelasting</w:t>
      </w:r>
    </w:p>
    <w:p w14:paraId="6B71AE5A" w14:textId="5C47DEFC" w:rsidR="00483734" w:rsidRPr="00483734" w:rsidRDefault="00483734" w:rsidP="00483734">
      <w:pPr>
        <w:pStyle w:val="BodyText"/>
        <w:rPr>
          <w:lang w:val="nl-NL"/>
        </w:rPr>
      </w:pPr>
      <w:r w:rsidRPr="00483734">
        <w:rPr>
          <w:lang w:val="nl-NL"/>
        </w:rPr>
        <w:t xml:space="preserve">Tot slot oordeelt het hof (zie </w:t>
      </w:r>
      <w:proofErr w:type="spellStart"/>
      <w:r w:rsidRPr="00483734">
        <w:rPr>
          <w:lang w:val="nl-NL"/>
        </w:rPr>
        <w:t>r.o.</w:t>
      </w:r>
      <w:proofErr w:type="spellEnd"/>
      <w:r w:rsidRPr="00483734">
        <w:rPr>
          <w:lang w:val="nl-NL"/>
        </w:rPr>
        <w:t xml:space="preserve"> 5.17) dat X BV bij het inkopen van de adviesdiensten niet als commissionair heeft gehandeld voor A SA of een andere Spaanse vennootschap</w:t>
      </w:r>
      <w:r w:rsidR="0032115A">
        <w:rPr>
          <w:lang w:val="nl-NL"/>
        </w:rPr>
        <w:t xml:space="preserve"> (waardoor  de diensten van de financieel adviseurs eerst aan haar verleend zouden zijn geweest om deze vervolgens te verlenen aan A SA en de btw bij X BV aftrekbaar zou zijn omdat deze toerekenbaar zou zijn aan de doorbelasting aan A SA)</w:t>
      </w:r>
      <w:r w:rsidRPr="00483734">
        <w:rPr>
          <w:lang w:val="nl-NL"/>
        </w:rPr>
        <w:t>.</w:t>
      </w:r>
      <w:r w:rsidR="00F5209A">
        <w:rPr>
          <w:rStyle w:val="FootnoteReference"/>
          <w:lang w:val="nl-NL"/>
        </w:rPr>
        <w:footnoteReference w:id="5"/>
      </w:r>
      <w:r w:rsidRPr="00483734">
        <w:rPr>
          <w:lang w:val="nl-NL"/>
        </w:rPr>
        <w:t xml:space="preserve"> Het hof verwijst hierbij naar het eerdere oordeel van de rechtbank, dat werd onderbouwd met een tweetal argumenten. Ten eerste heeft X BV niet aannemelijk gemaakt dat zij als commissionair heeft gehandeld door bewijs aan te dragen dat zij de diensten </w:t>
      </w:r>
      <w:r w:rsidRPr="00483734">
        <w:rPr>
          <w:i/>
          <w:iCs/>
          <w:lang w:val="nl-NL"/>
        </w:rPr>
        <w:t>op eigen naam maar voor rekening van</w:t>
      </w:r>
      <w:r w:rsidRPr="00483734">
        <w:rPr>
          <w:lang w:val="nl-NL"/>
        </w:rPr>
        <w:t xml:space="preserve"> een ander (A </w:t>
      </w:r>
      <w:proofErr w:type="spellStart"/>
      <w:r w:rsidRPr="00483734">
        <w:rPr>
          <w:lang w:val="nl-NL"/>
        </w:rPr>
        <w:t>Holdco</w:t>
      </w:r>
      <w:proofErr w:type="spellEnd"/>
      <w:r w:rsidRPr="00483734">
        <w:rPr>
          <w:lang w:val="nl-NL"/>
        </w:rPr>
        <w:t xml:space="preserve"> SL) heeft afgenomen. Daarbij is de overeengekomen Fee Arrangement onvoldoende bewijs, omdat daaruit niet blijkt dat X BV als vertegenwoordiger voor een ander optrad. In voornoemde overeenkomst is zelfs opgenomen dat A </w:t>
      </w:r>
      <w:proofErr w:type="spellStart"/>
      <w:r w:rsidRPr="00483734">
        <w:rPr>
          <w:lang w:val="nl-NL"/>
        </w:rPr>
        <w:t>Holdco</w:t>
      </w:r>
      <w:proofErr w:type="spellEnd"/>
      <w:r w:rsidRPr="00483734">
        <w:rPr>
          <w:lang w:val="nl-NL"/>
        </w:rPr>
        <w:t xml:space="preserve"> SL kosten vergoed die X BV zelf heeft gemaakt en dus niet zijn betaald door X BV ten behoeve van een andere partij. Hieruit kan worden opgemaakt dat indien X BV op basis van een overeenkomst alleen kosten zou doorbelasten die betrekking hebben op A </w:t>
      </w:r>
      <w:proofErr w:type="spellStart"/>
      <w:r w:rsidRPr="00483734">
        <w:rPr>
          <w:lang w:val="nl-NL"/>
        </w:rPr>
        <w:t>Holdco</w:t>
      </w:r>
      <w:proofErr w:type="spellEnd"/>
      <w:r w:rsidRPr="00483734">
        <w:rPr>
          <w:lang w:val="nl-NL"/>
        </w:rPr>
        <w:t xml:space="preserve"> SL (dus geen eigen kosten), X BV mogelijk wel (aantoonbaar) als commissionair had gehandeld. Daarnaast wordt genoemd (onder verwijzing naar eerdere </w:t>
      </w:r>
      <w:r w:rsidRPr="00483734">
        <w:rPr>
          <w:lang w:val="nl-NL"/>
        </w:rPr>
        <w:lastRenderedPageBreak/>
        <w:t>jurisprudentie) dat X BV niet heeft onderbouwd dat sprake is van een opdrachtgever die tevoren een order tot het afnemen van de diensten aan X BV heeft gegeven. Met het voorgaande zal wat ons betreft in de praktijk rekening moeten worden gehouden op het moment dat de commissionairsfictie wordt toegepast, zeker in de situatie dat dit niet goed of onvoldoende is vastgelegd. Om de commissionairspositie te onderbouwen moet dus met bewijs aannemelijk worden gemaakt dat die partij als commissionair handelt, dat deze partij geen eigen kosten in rekening brengt en dat sprake is van een opdrachtgever.</w:t>
      </w:r>
    </w:p>
    <w:p w14:paraId="33EEFCB2" w14:textId="58DA6BD9" w:rsidR="00483734" w:rsidRDefault="00483734" w:rsidP="00483734">
      <w:pPr>
        <w:pStyle w:val="BodyText"/>
        <w:rPr>
          <w:lang w:val="nl-NL"/>
        </w:rPr>
      </w:pPr>
      <w:r w:rsidRPr="00483734">
        <w:rPr>
          <w:lang w:val="nl-NL"/>
        </w:rPr>
        <w:t>Wellicht ten overvloede valt ons nog op dat niet is nagegaan of A SA  potentieel als commissionair heeft opgetreden voor X BV. Dit lijkt echter niet aannemelijk omdat X BV nog niet was opgericht ten tijde van het aangaan van de dienstbetrekking tussen de dienstverrichters en A SA. X BV kan derhalve nooit de opdracht aan A SA hebben verstrekt om ten behoeve van haarzelf diensten in te kopen. Een dergelijke schriftelijke of mondelinge overeenkomst tot lastgeving tussen de commissionair en de opdrachtgever is een van de vereisten volgens het Hof van Justitie</w:t>
      </w:r>
      <w:r>
        <w:rPr>
          <w:lang w:val="nl-NL"/>
        </w:rPr>
        <w:t>.</w:t>
      </w:r>
      <w:r w:rsidRPr="00483734">
        <w:rPr>
          <w:vertAlign w:val="superscript"/>
          <w:lang w:val="nl-NL"/>
        </w:rPr>
        <w:footnoteReference w:id="6"/>
      </w:r>
    </w:p>
    <w:p w14:paraId="176695EE" w14:textId="5913B83B" w:rsidR="008B08A8" w:rsidRPr="008B08A8" w:rsidRDefault="00483734" w:rsidP="008C2B61">
      <w:pPr>
        <w:pStyle w:val="BodyText"/>
        <w:jc w:val="center"/>
        <w:rPr>
          <w:lang w:val="nl-NL"/>
        </w:rPr>
      </w:pPr>
      <w:r>
        <w:rPr>
          <w:lang w:val="nl-NL"/>
        </w:rPr>
        <w:t>***</w:t>
      </w:r>
    </w:p>
    <w:sectPr w:rsidR="008B08A8" w:rsidRPr="008B08A8" w:rsidSect="008B08A8">
      <w:type w:val="continuous"/>
      <w:pgSz w:w="11906" w:h="16838" w:code="9"/>
      <w:pgMar w:top="3175" w:right="850" w:bottom="1701" w:left="1984" w:header="90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57F3B5" w14:textId="77777777" w:rsidR="00690F80" w:rsidRDefault="00690F80" w:rsidP="00436A45">
      <w:pPr>
        <w:spacing w:after="0" w:line="240" w:lineRule="auto"/>
      </w:pPr>
      <w:r>
        <w:separator/>
      </w:r>
    </w:p>
  </w:endnote>
  <w:endnote w:type="continuationSeparator" w:id="0">
    <w:p w14:paraId="50009358" w14:textId="77777777" w:rsidR="00690F80" w:rsidRDefault="00690F80" w:rsidP="00436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eorgi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PwC_Logo 3.0">
    <w:panose1 w:val="05000400000000000000"/>
    <w:charset w:val="02"/>
    <w:family w:val="auto"/>
    <w:pitch w:val="variable"/>
    <w:sig w:usb0="00000000" w:usb1="10000000" w:usb2="00000000" w:usb3="00000000" w:csb0="80000000"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327CE2" w14:textId="77777777" w:rsidR="008B08A8" w:rsidRDefault="008B08A8" w:rsidP="008B08A8">
    <w:pPr>
      <w:pStyle w:val="LocalLegalContinue"/>
    </w:pPr>
    <w:r>
      <w:fldChar w:fldCharType="begin"/>
    </w:r>
    <w:r>
      <w:instrText xml:space="preserve"> REF DocumentDate \h </w:instrText>
    </w:r>
    <w:r>
      <w:fldChar w:fldCharType="separate"/>
    </w:r>
    <w:r>
      <w:t xml:space="preserve">19 </w:t>
    </w:r>
    <w:proofErr w:type="spellStart"/>
    <w:r>
      <w:t>januari</w:t>
    </w:r>
    <w:proofErr w:type="spellEnd"/>
    <w:r>
      <w:t xml:space="preserve"> 2022</w:t>
    </w:r>
    <w:r>
      <w:fldChar w:fldCharType="end"/>
    </w:r>
    <w:r>
      <w:t xml:space="preserve">, </w:t>
    </w:r>
    <w:r>
      <w:fldChar w:fldCharType="begin"/>
    </w:r>
    <w:r>
      <w:instrText xml:space="preserve"> REF DocumentReference \h </w:instrText>
    </w:r>
    <w:r>
      <w:fldChar w:fldCharType="separate"/>
    </w:r>
    <w:r>
      <w:t>[Insert reference here]</w:t>
    </w:r>
    <w:r>
      <w:fldChar w:fldCharType="end"/>
    </w:r>
  </w:p>
  <w:p w14:paraId="57EDB867" w14:textId="77777777" w:rsidR="008B08A8" w:rsidRDefault="008B08A8" w:rsidP="008B08A8">
    <w:pPr>
      <w:pStyle w:val="Spacing4mm"/>
    </w:pPr>
  </w:p>
  <w:p w14:paraId="55C81A23" w14:textId="77777777" w:rsidR="008B08A8" w:rsidRPr="008B08A8" w:rsidRDefault="008B08A8" w:rsidP="008B08A8">
    <w:pPr>
      <w:pStyle w:val="PageNumber"/>
    </w:pPr>
    <w:proofErr w:type="spellStart"/>
    <w:r>
      <w:t>Pagina</w:t>
    </w:r>
    <w:proofErr w:type="spellEnd"/>
    <w:r>
      <w:t xml:space="preserve"> </w:t>
    </w:r>
    <w:r>
      <w:fldChar w:fldCharType="begin"/>
    </w:r>
    <w:r>
      <w:instrText xml:space="preserve"> PAGE  \* MERGEFORMAT </w:instrText>
    </w:r>
    <w:r>
      <w:fldChar w:fldCharType="separate"/>
    </w:r>
    <w:r>
      <w:rPr>
        <w:noProof/>
      </w:rPr>
      <w:t>1</w:t>
    </w:r>
    <w:r>
      <w:fldChar w:fldCharType="end"/>
    </w:r>
    <w:r>
      <w:t xml:space="preserve"> van </w:t>
    </w:r>
    <w:r w:rsidR="00690F80">
      <w:fldChar w:fldCharType="begin"/>
    </w:r>
    <w:r w:rsidR="00690F80">
      <w:instrText xml:space="preserve"> NUMPAGES  \* MERGEFORMAT </w:instrText>
    </w:r>
    <w:r w:rsidR="00690F80">
      <w:fldChar w:fldCharType="separate"/>
    </w:r>
    <w:r>
      <w:rPr>
        <w:noProof/>
      </w:rPr>
      <w:t>1</w:t>
    </w:r>
    <w:r w:rsidR="00690F80">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5AEC7" w14:textId="77777777" w:rsidR="008B08A8" w:rsidRDefault="008B08A8" w:rsidP="008B08A8">
    <w:pPr>
      <w:pStyle w:val="Spacing4mm"/>
    </w:pPr>
  </w:p>
  <w:p w14:paraId="31AED745" w14:textId="77777777" w:rsidR="008B08A8" w:rsidRPr="008B08A8" w:rsidRDefault="008B08A8" w:rsidP="008B08A8">
    <w:pPr>
      <w:pStyle w:val="PageNumber"/>
    </w:pPr>
    <w:proofErr w:type="spellStart"/>
    <w:r>
      <w:t>Pagina</w:t>
    </w:r>
    <w:proofErr w:type="spellEnd"/>
    <w:r>
      <w:t xml:space="preserve"> </w:t>
    </w:r>
    <w:r>
      <w:fldChar w:fldCharType="begin"/>
    </w:r>
    <w:r>
      <w:instrText xml:space="preserve"> PAGE  \* MERGEFORMAT </w:instrText>
    </w:r>
    <w:r>
      <w:fldChar w:fldCharType="separate"/>
    </w:r>
    <w:r>
      <w:rPr>
        <w:noProof/>
      </w:rPr>
      <w:t>1</w:t>
    </w:r>
    <w:r>
      <w:fldChar w:fldCharType="end"/>
    </w:r>
    <w:r>
      <w:t xml:space="preserve"> van </w:t>
    </w:r>
    <w:r w:rsidR="00690F80">
      <w:fldChar w:fldCharType="begin"/>
    </w:r>
    <w:r w:rsidR="00690F80">
      <w:instrText xml:space="preserve"> NUMPAGES  \* MERGEFORMAT </w:instrText>
    </w:r>
    <w:r w:rsidR="00690F80">
      <w:fldChar w:fldCharType="separate"/>
    </w:r>
    <w:r>
      <w:rPr>
        <w:noProof/>
      </w:rPr>
      <w:t>1</w:t>
    </w:r>
    <w:r w:rsidR="00690F80">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3C9DF3" w14:textId="77777777" w:rsidR="008B08A8" w:rsidRDefault="008B08A8" w:rsidP="008B08A8">
    <w:pPr>
      <w:pStyle w:val="Spacing4mm"/>
    </w:pPr>
  </w:p>
  <w:p w14:paraId="1D84610D" w14:textId="77777777" w:rsidR="008B08A8" w:rsidRDefault="008B08A8" w:rsidP="008B08A8">
    <w:pPr>
      <w:pStyle w:val="LocalLegalNameHeader"/>
    </w:pPr>
  </w:p>
  <w:p w14:paraId="7A8BE72B" w14:textId="77777777" w:rsidR="008B08A8" w:rsidRPr="008B08A8" w:rsidRDefault="008B08A8" w:rsidP="008B08A8">
    <w:pPr>
      <w:pStyle w:val="LocalLegalAddress"/>
      <w:rPr>
        <w:lang w:val="nl-NL"/>
      </w:rPr>
    </w:pPr>
    <w:r w:rsidRPr="008B08A8">
      <w:rPr>
        <w:lang w:val="nl-NL"/>
      </w:rPr>
      <w:t xml:space="preserve">PricewaterhouseCoopers Belastingadviseurs N.V., </w:t>
    </w:r>
    <w:proofErr w:type="spellStart"/>
    <w:r w:rsidRPr="008B08A8">
      <w:rPr>
        <w:lang w:val="nl-NL"/>
      </w:rPr>
      <w:t>Fascinatio</w:t>
    </w:r>
    <w:proofErr w:type="spellEnd"/>
    <w:r w:rsidRPr="008B08A8">
      <w:rPr>
        <w:lang w:val="nl-NL"/>
      </w:rPr>
      <w:t> Boulevard 350, 3065 WB Rotterdam, Postbus 8800, 3009 AV Rotterdam</w:t>
    </w:r>
  </w:p>
  <w:p w14:paraId="64304658" w14:textId="77777777" w:rsidR="008B08A8" w:rsidRPr="008B08A8" w:rsidRDefault="008B08A8" w:rsidP="008B08A8">
    <w:pPr>
      <w:pStyle w:val="LocalLegalContact"/>
      <w:rPr>
        <w:lang w:val="nl-NL"/>
      </w:rPr>
    </w:pPr>
    <w:r w:rsidRPr="008B08A8">
      <w:rPr>
        <w:lang w:val="nl-NL"/>
      </w:rPr>
      <w:t>T: 088 792 00 10, F: 088 792 95 33, www.pwc.nl</w:t>
    </w:r>
  </w:p>
  <w:p w14:paraId="2B078333" w14:textId="77777777" w:rsidR="008B08A8" w:rsidRPr="008B08A8" w:rsidRDefault="008B08A8" w:rsidP="008B08A8">
    <w:pPr>
      <w:pStyle w:val="Spacing4mm"/>
      <w:rPr>
        <w:lang w:val="nl-NL"/>
      </w:rPr>
    </w:pPr>
  </w:p>
  <w:p w14:paraId="5A40FE36" w14:textId="77777777" w:rsidR="008B08A8" w:rsidRPr="008B08A8" w:rsidRDefault="008B08A8" w:rsidP="008B08A8">
    <w:pPr>
      <w:pStyle w:val="FooterLegalDetails"/>
      <w:rPr>
        <w:lang w:val="nl-NL"/>
      </w:rPr>
    </w:pPr>
    <w:r w:rsidRPr="008B08A8">
      <w:rPr>
        <w:lang w:val="nl-NL"/>
      </w:rPr>
      <w:t>‘</w:t>
    </w:r>
    <w:proofErr w:type="spellStart"/>
    <w:r w:rsidRPr="008B08A8">
      <w:rPr>
        <w:lang w:val="nl-NL"/>
      </w:rPr>
      <w:t>PwC</w:t>
    </w:r>
    <w:proofErr w:type="spellEnd"/>
    <w:r w:rsidRPr="008B08A8">
      <w:rPr>
        <w:lang w:val="nl-NL"/>
      </w:rPr>
      <w:t xml:space="preserve">’ is het merk waaronder PricewaterhouseCoopers Accountants N.V. (KvK 34180285), PricewaterhouseCoopers Belastingadviseurs N.V. (KvK 34180284), PricewaterhouseCoopers </w:t>
    </w:r>
    <w:proofErr w:type="spellStart"/>
    <w:r w:rsidRPr="008B08A8">
      <w:rPr>
        <w:lang w:val="nl-NL"/>
      </w:rPr>
      <w:t>Advisory</w:t>
    </w:r>
    <w:proofErr w:type="spellEnd"/>
    <w:r w:rsidRPr="008B08A8">
      <w:rPr>
        <w:lang w:val="nl-NL"/>
      </w:rPr>
      <w:t xml:space="preserve"> N.V. (KvK 34180287), PricewaterhouseCoopers Compliance Services B.V. (KvK 51414406), PricewaterhouseCoopers Pensions, </w:t>
    </w:r>
    <w:proofErr w:type="spellStart"/>
    <w:r w:rsidRPr="008B08A8">
      <w:rPr>
        <w:lang w:val="nl-NL"/>
      </w:rPr>
      <w:t>Actuarial</w:t>
    </w:r>
    <w:proofErr w:type="spellEnd"/>
    <w:r w:rsidRPr="008B08A8">
      <w:rPr>
        <w:lang w:val="nl-NL"/>
      </w:rPr>
      <w:t xml:space="preserve"> &amp; Insurance Services B.V. (KvK 54226368), PricewaterhouseCoopers B.V. (KvK 34180289) en andere vennootschappen handelen en diensten verlenen. Op deze diensten zijn algemene voorwaarden van toepassing, waarin onder meer aansprakelijkheidsvoorwaarden zijn opgenomen. Op leveringen aan deze vennootschappen zijn algemene inkoopvoorwaarden van toepassing. Op www.pwc.nl treft u meer informatie over deze vennootschappen, waaronder deze algemene (inkoop)voorwaarden die ook zijn gedeponeerd bij de Kamer van Koophandel te Amsterdam.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E6FC8B" w14:textId="77777777" w:rsidR="00690F80" w:rsidRDefault="00690F80" w:rsidP="00436A45">
      <w:pPr>
        <w:spacing w:after="0" w:line="240" w:lineRule="auto"/>
      </w:pPr>
      <w:r>
        <w:separator/>
      </w:r>
    </w:p>
  </w:footnote>
  <w:footnote w:type="continuationSeparator" w:id="0">
    <w:p w14:paraId="510AD880" w14:textId="77777777" w:rsidR="00690F80" w:rsidRDefault="00690F80" w:rsidP="00436A45">
      <w:pPr>
        <w:spacing w:after="0" w:line="240" w:lineRule="auto"/>
      </w:pPr>
      <w:r>
        <w:continuationSeparator/>
      </w:r>
    </w:p>
  </w:footnote>
  <w:footnote w:id="1">
    <w:p w14:paraId="26386DDC" w14:textId="77777777" w:rsidR="00483734" w:rsidRPr="006B2ECA" w:rsidRDefault="00483734" w:rsidP="00483734">
      <w:pPr>
        <w:pStyle w:val="FootnoteText"/>
        <w:rPr>
          <w:sz w:val="16"/>
          <w:szCs w:val="16"/>
          <w:lang w:val="nl-NL"/>
        </w:rPr>
      </w:pPr>
      <w:r w:rsidRPr="006B2ECA">
        <w:rPr>
          <w:rStyle w:val="FootnoteReference"/>
          <w:sz w:val="16"/>
          <w:szCs w:val="16"/>
        </w:rPr>
        <w:footnoteRef/>
      </w:r>
      <w:r w:rsidRPr="006B2ECA">
        <w:rPr>
          <w:sz w:val="16"/>
          <w:szCs w:val="16"/>
          <w:lang w:val="nl-NL"/>
        </w:rPr>
        <w:t xml:space="preserve"> Een dergelijke structuur wordt vaak gebruikt om de uiteindelijke gerechtigden</w:t>
      </w:r>
      <w:r>
        <w:rPr>
          <w:sz w:val="16"/>
          <w:szCs w:val="16"/>
          <w:lang w:val="nl-NL"/>
        </w:rPr>
        <w:t xml:space="preserve"> (</w:t>
      </w:r>
      <w:proofErr w:type="spellStart"/>
      <w:r>
        <w:rPr>
          <w:sz w:val="16"/>
          <w:szCs w:val="16"/>
          <w:lang w:val="nl-NL"/>
        </w:rPr>
        <w:t>UBO’s</w:t>
      </w:r>
      <w:proofErr w:type="spellEnd"/>
      <w:r>
        <w:rPr>
          <w:sz w:val="16"/>
          <w:szCs w:val="16"/>
          <w:lang w:val="nl-NL"/>
        </w:rPr>
        <w:t>) buiten beeld te houden bij het bijeenbrengen van kapitaal. Zie ook bijvoorbeeld de Noot van Redactie Vakstudie Nieuws, V-N 2022/3.15.</w:t>
      </w:r>
    </w:p>
  </w:footnote>
  <w:footnote w:id="2">
    <w:p w14:paraId="3B0351E3" w14:textId="77777777" w:rsidR="00483734" w:rsidRPr="008C2B61" w:rsidRDefault="00483734" w:rsidP="00483734">
      <w:pPr>
        <w:pStyle w:val="FootnoteText"/>
        <w:rPr>
          <w:sz w:val="16"/>
          <w:szCs w:val="16"/>
          <w:lang w:val="nl-NL"/>
        </w:rPr>
      </w:pPr>
      <w:r w:rsidRPr="008C2B61">
        <w:rPr>
          <w:rStyle w:val="FootnoteReference"/>
          <w:sz w:val="16"/>
          <w:szCs w:val="16"/>
        </w:rPr>
        <w:footnoteRef/>
      </w:r>
      <w:r w:rsidRPr="008C2B61">
        <w:rPr>
          <w:sz w:val="16"/>
          <w:szCs w:val="16"/>
          <w:lang w:val="nl-NL"/>
        </w:rPr>
        <w:t xml:space="preserve"> Zie ook NTFR 2021/3776 met annotatie van mr. </w:t>
      </w:r>
      <w:r w:rsidRPr="008C2B61">
        <w:rPr>
          <w:sz w:val="16"/>
          <w:szCs w:val="16"/>
          <w:lang w:val="en-US"/>
        </w:rPr>
        <w:t xml:space="preserve">J.P.W.H.T. Becks, </w:t>
      </w:r>
      <w:proofErr w:type="spellStart"/>
      <w:r w:rsidRPr="008C2B61">
        <w:rPr>
          <w:sz w:val="16"/>
          <w:szCs w:val="16"/>
          <w:lang w:val="en-US"/>
        </w:rPr>
        <w:t>mr.</w:t>
      </w:r>
      <w:proofErr w:type="spellEnd"/>
      <w:r w:rsidRPr="008C2B61">
        <w:rPr>
          <w:sz w:val="16"/>
          <w:szCs w:val="16"/>
          <w:lang w:val="en-US"/>
        </w:rPr>
        <w:t xml:space="preserve"> </w:t>
      </w:r>
      <w:r w:rsidRPr="008C2B61">
        <w:rPr>
          <w:sz w:val="16"/>
          <w:szCs w:val="16"/>
          <w:lang w:val="nl-NL"/>
        </w:rPr>
        <w:t xml:space="preserve">N. </w:t>
      </w:r>
      <w:proofErr w:type="spellStart"/>
      <w:r w:rsidRPr="008C2B61">
        <w:rPr>
          <w:sz w:val="16"/>
          <w:szCs w:val="16"/>
          <w:lang w:val="nl-NL"/>
        </w:rPr>
        <w:t>Arzini</w:t>
      </w:r>
      <w:proofErr w:type="spellEnd"/>
      <w:r w:rsidRPr="008C2B61">
        <w:rPr>
          <w:sz w:val="16"/>
          <w:szCs w:val="16"/>
          <w:lang w:val="nl-NL"/>
        </w:rPr>
        <w:t>.</w:t>
      </w:r>
    </w:p>
  </w:footnote>
  <w:footnote w:id="3">
    <w:p w14:paraId="7FB7D050" w14:textId="77777777" w:rsidR="003C7432" w:rsidRPr="008C2B61" w:rsidRDefault="003C7432" w:rsidP="003C7432">
      <w:pPr>
        <w:pStyle w:val="FootnoteText"/>
        <w:rPr>
          <w:sz w:val="16"/>
          <w:szCs w:val="16"/>
          <w:lang w:val="nl-NL"/>
        </w:rPr>
      </w:pPr>
      <w:r w:rsidRPr="008C2B61">
        <w:rPr>
          <w:rStyle w:val="FootnoteReference"/>
          <w:sz w:val="16"/>
          <w:szCs w:val="16"/>
        </w:rPr>
        <w:footnoteRef/>
      </w:r>
      <w:r w:rsidRPr="008C2B61">
        <w:rPr>
          <w:sz w:val="16"/>
          <w:szCs w:val="16"/>
          <w:lang w:val="nl-NL"/>
        </w:rPr>
        <w:t xml:space="preserve"> De overige 25% van de kosten zien overigens op de </w:t>
      </w:r>
      <w:proofErr w:type="spellStart"/>
      <w:r w:rsidRPr="008C2B61">
        <w:rPr>
          <w:i/>
          <w:iCs/>
          <w:sz w:val="16"/>
          <w:szCs w:val="16"/>
          <w:lang w:val="nl-NL"/>
        </w:rPr>
        <w:t>revolving</w:t>
      </w:r>
      <w:proofErr w:type="spellEnd"/>
      <w:r w:rsidRPr="008C2B61">
        <w:rPr>
          <w:i/>
          <w:iCs/>
          <w:sz w:val="16"/>
          <w:szCs w:val="16"/>
          <w:lang w:val="nl-NL"/>
        </w:rPr>
        <w:t xml:space="preserve"> credit facility</w:t>
      </w:r>
      <w:r w:rsidRPr="008C2B61">
        <w:rPr>
          <w:sz w:val="16"/>
          <w:szCs w:val="16"/>
          <w:lang w:val="nl-NL"/>
        </w:rPr>
        <w:t xml:space="preserve"> tussen een bank en A </w:t>
      </w:r>
      <w:proofErr w:type="spellStart"/>
      <w:r w:rsidRPr="008C2B61">
        <w:rPr>
          <w:sz w:val="16"/>
          <w:szCs w:val="16"/>
          <w:lang w:val="nl-NL"/>
        </w:rPr>
        <w:t>Holdco</w:t>
      </w:r>
      <w:proofErr w:type="spellEnd"/>
      <w:r w:rsidRPr="008C2B61">
        <w:rPr>
          <w:sz w:val="16"/>
          <w:szCs w:val="16"/>
          <w:lang w:val="nl-NL"/>
        </w:rPr>
        <w:t xml:space="preserve">. Deze kosten zien niet op (de activiteiten van) X BV. Het is dus logisch dat X BV niet hiervoor heeft willen betalen. De betalingen die op de </w:t>
      </w:r>
      <w:proofErr w:type="spellStart"/>
      <w:r w:rsidRPr="008C2B61">
        <w:rPr>
          <w:i/>
          <w:iCs/>
          <w:sz w:val="16"/>
          <w:szCs w:val="16"/>
          <w:lang w:val="nl-NL"/>
        </w:rPr>
        <w:t>revolving</w:t>
      </w:r>
      <w:proofErr w:type="spellEnd"/>
      <w:r w:rsidRPr="008C2B61">
        <w:rPr>
          <w:i/>
          <w:iCs/>
          <w:sz w:val="16"/>
          <w:szCs w:val="16"/>
          <w:lang w:val="nl-NL"/>
        </w:rPr>
        <w:t xml:space="preserve"> credit facility</w:t>
      </w:r>
      <w:r w:rsidRPr="008C2B61">
        <w:rPr>
          <w:sz w:val="16"/>
          <w:szCs w:val="16"/>
          <w:lang w:val="nl-NL"/>
        </w:rPr>
        <w:t xml:space="preserve"> zien kunnen</w:t>
      </w:r>
      <w:r>
        <w:rPr>
          <w:sz w:val="16"/>
          <w:szCs w:val="16"/>
          <w:lang w:val="nl-NL"/>
        </w:rPr>
        <w:t xml:space="preserve"> volgens het hof</w:t>
      </w:r>
      <w:r w:rsidRPr="008C2B61">
        <w:rPr>
          <w:sz w:val="16"/>
          <w:szCs w:val="16"/>
          <w:lang w:val="nl-NL"/>
        </w:rPr>
        <w:t xml:space="preserve"> dus </w:t>
      </w:r>
      <w:r>
        <w:rPr>
          <w:sz w:val="16"/>
          <w:szCs w:val="16"/>
          <w:lang w:val="nl-NL"/>
        </w:rPr>
        <w:t>g</w:t>
      </w:r>
      <w:r w:rsidRPr="008C2B61">
        <w:rPr>
          <w:sz w:val="16"/>
          <w:szCs w:val="16"/>
          <w:lang w:val="nl-NL"/>
        </w:rPr>
        <w:t>een vergoeding zijn voor een prestatie verricht door A SA.</w:t>
      </w:r>
    </w:p>
  </w:footnote>
  <w:footnote w:id="4">
    <w:p w14:paraId="2918AE63" w14:textId="77777777" w:rsidR="00483734" w:rsidRPr="00483734" w:rsidRDefault="00483734" w:rsidP="00483734">
      <w:pPr>
        <w:pStyle w:val="FootnoteText"/>
        <w:rPr>
          <w:sz w:val="16"/>
          <w:szCs w:val="16"/>
          <w:lang w:val="nl-NL"/>
        </w:rPr>
      </w:pPr>
      <w:r w:rsidRPr="008C2B61">
        <w:rPr>
          <w:rStyle w:val="FootnoteReference"/>
          <w:sz w:val="16"/>
          <w:szCs w:val="16"/>
        </w:rPr>
        <w:footnoteRef/>
      </w:r>
      <w:r w:rsidRPr="008C2B61">
        <w:rPr>
          <w:sz w:val="16"/>
          <w:szCs w:val="16"/>
          <w:lang w:val="nl-NL"/>
        </w:rPr>
        <w:t xml:space="preserve"> Zie </w:t>
      </w:r>
      <w:proofErr w:type="spellStart"/>
      <w:r w:rsidRPr="008C2B61">
        <w:rPr>
          <w:sz w:val="16"/>
          <w:szCs w:val="16"/>
          <w:lang w:val="nl-NL"/>
        </w:rPr>
        <w:t>HvJ</w:t>
      </w:r>
      <w:proofErr w:type="spellEnd"/>
      <w:r w:rsidRPr="008C2B61">
        <w:rPr>
          <w:sz w:val="16"/>
          <w:szCs w:val="16"/>
          <w:lang w:val="nl-NL"/>
        </w:rPr>
        <w:t xml:space="preserve"> 3 maart 1994, C-16/93 (</w:t>
      </w:r>
      <w:proofErr w:type="spellStart"/>
      <w:r w:rsidRPr="008C2B61">
        <w:rPr>
          <w:sz w:val="16"/>
          <w:szCs w:val="16"/>
          <w:lang w:val="nl-NL"/>
        </w:rPr>
        <w:t>Tolsma</w:t>
      </w:r>
      <w:proofErr w:type="spellEnd"/>
      <w:r w:rsidRPr="008C2B61">
        <w:rPr>
          <w:sz w:val="16"/>
          <w:szCs w:val="16"/>
          <w:lang w:val="nl-NL"/>
        </w:rPr>
        <w:t>).</w:t>
      </w:r>
    </w:p>
  </w:footnote>
  <w:footnote w:id="5">
    <w:p w14:paraId="5743A005" w14:textId="3C23A0CB" w:rsidR="00F5209A" w:rsidRPr="00F5209A" w:rsidRDefault="00F5209A" w:rsidP="00F5209A">
      <w:pPr>
        <w:pStyle w:val="FootnoteText"/>
        <w:rPr>
          <w:lang w:val="nl-NL"/>
        </w:rPr>
      </w:pPr>
      <w:r>
        <w:rPr>
          <w:rStyle w:val="FootnoteReference"/>
        </w:rPr>
        <w:footnoteRef/>
      </w:r>
      <w:r w:rsidRPr="00B11C3D">
        <w:rPr>
          <w:lang w:val="nl-NL"/>
        </w:rPr>
        <w:t xml:space="preserve"> </w:t>
      </w:r>
      <w:r w:rsidRPr="00F5209A">
        <w:rPr>
          <w:lang w:val="nl-NL"/>
        </w:rPr>
        <w:t>De commissionairsfictie houdt in dat goederen en/of diensten welke worden geleverd door tussenkomst van een tussenpersoon (de commissionair), die overeenkomsten sluit</w:t>
      </w:r>
      <w:r w:rsidRPr="00F5209A">
        <w:rPr>
          <w:i/>
          <w:iCs/>
          <w:lang w:val="nl-NL"/>
        </w:rPr>
        <w:t xml:space="preserve"> op eigen naam maar op order en voor rekening van een ander</w:t>
      </w:r>
      <w:r w:rsidRPr="00F5209A">
        <w:rPr>
          <w:lang w:val="nl-NL"/>
        </w:rPr>
        <w:t xml:space="preserve">, worden geacht </w:t>
      </w:r>
      <w:r w:rsidRPr="00F5209A">
        <w:rPr>
          <w:i/>
          <w:iCs/>
          <w:lang w:val="nl-NL"/>
        </w:rPr>
        <w:t xml:space="preserve">aan </w:t>
      </w:r>
      <w:r w:rsidRPr="00F5209A">
        <w:rPr>
          <w:lang w:val="nl-NL"/>
        </w:rPr>
        <w:t>en vervolgens</w:t>
      </w:r>
      <w:r w:rsidRPr="00F5209A">
        <w:rPr>
          <w:i/>
          <w:iCs/>
          <w:lang w:val="nl-NL"/>
        </w:rPr>
        <w:t xml:space="preserve"> door</w:t>
      </w:r>
      <w:r w:rsidRPr="00F5209A">
        <w:rPr>
          <w:lang w:val="nl-NL"/>
        </w:rPr>
        <w:t xml:space="preserve"> die ondernemer te zijn geleverd (art. 3, lid 6 Wet OB 1968). De ingekochte prestatie (‘aan’) wordt derhalve hetzelfde behandeld als de uitgaande prestatie (‘door’). Indien X BV als commissionair had gehandeld had zij de adviesdiensten aldus btw-belast kunnen door verrichten aan A </w:t>
      </w:r>
      <w:proofErr w:type="spellStart"/>
      <w:r w:rsidRPr="00F5209A">
        <w:rPr>
          <w:lang w:val="nl-NL"/>
        </w:rPr>
        <w:t>Holco</w:t>
      </w:r>
      <w:proofErr w:type="spellEnd"/>
      <w:r w:rsidRPr="00F5209A">
        <w:rPr>
          <w:lang w:val="nl-NL"/>
        </w:rPr>
        <w:t xml:space="preserve"> SL, nu in beginsel prestaties afzonderlijk dienen te worden beoordeeld. X BV had dan wél recht op aftrek van voorbelasting gehad voor wat betreft de kosten die direct toerekenbaar zijn aan voornoemde uitgaande (btw-belaste) prestaties. </w:t>
      </w:r>
    </w:p>
    <w:p w14:paraId="4C42621B" w14:textId="585ED467" w:rsidR="00F5209A" w:rsidRPr="00B11C3D" w:rsidRDefault="00F5209A">
      <w:pPr>
        <w:pStyle w:val="FootnoteText"/>
        <w:rPr>
          <w:lang w:val="nl-NL"/>
        </w:rPr>
      </w:pPr>
    </w:p>
  </w:footnote>
  <w:footnote w:id="6">
    <w:p w14:paraId="1DAD96BF" w14:textId="3E86EBE0" w:rsidR="00483734" w:rsidRPr="00537AE0" w:rsidRDefault="00483734" w:rsidP="00483734">
      <w:pPr>
        <w:pStyle w:val="FootnoteText"/>
        <w:rPr>
          <w:lang w:val="en-US"/>
        </w:rPr>
      </w:pPr>
      <w:r>
        <w:rPr>
          <w:rStyle w:val="FootnoteReference"/>
        </w:rPr>
        <w:footnoteRef/>
      </w:r>
      <w:r w:rsidRPr="00537AE0">
        <w:rPr>
          <w:lang w:val="en-US"/>
        </w:rPr>
        <w:t xml:space="preserve"> </w:t>
      </w:r>
      <w:proofErr w:type="spellStart"/>
      <w:r w:rsidRPr="00537AE0">
        <w:rPr>
          <w:lang w:val="en-US"/>
        </w:rPr>
        <w:t>HvJ</w:t>
      </w:r>
      <w:proofErr w:type="spellEnd"/>
      <w:r w:rsidRPr="00537AE0">
        <w:rPr>
          <w:lang w:val="en-US"/>
        </w:rPr>
        <w:t xml:space="preserve"> 2 </w:t>
      </w:r>
      <w:proofErr w:type="spellStart"/>
      <w:r w:rsidRPr="00537AE0">
        <w:rPr>
          <w:lang w:val="en-US"/>
        </w:rPr>
        <w:t>november</w:t>
      </w:r>
      <w:proofErr w:type="spellEnd"/>
      <w:r w:rsidRPr="00537AE0">
        <w:rPr>
          <w:lang w:val="en-US"/>
        </w:rPr>
        <w:t xml:space="preserve"> 2020, </w:t>
      </w:r>
      <w:r w:rsidR="008C2B61">
        <w:rPr>
          <w:lang w:val="en-US"/>
        </w:rPr>
        <w:t>nr.</w:t>
      </w:r>
      <w:r w:rsidRPr="00537AE0">
        <w:rPr>
          <w:lang w:val="en-US"/>
        </w:rPr>
        <w:t xml:space="preserve"> C-734/19, (ITH </w:t>
      </w:r>
      <w:proofErr w:type="spellStart"/>
      <w:r w:rsidRPr="00537AE0">
        <w:rPr>
          <w:lang w:val="en-US"/>
        </w:rPr>
        <w:t>Comercial</w:t>
      </w:r>
      <w:proofErr w:type="spellEnd"/>
      <w:r w:rsidR="008C2B61">
        <w:rPr>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3FD668" w14:textId="77777777" w:rsidR="008B08A8" w:rsidRDefault="008B08A8" w:rsidP="008B08A8">
    <w:pPr>
      <w:pStyle w:val="HeaderProposal"/>
    </w:pPr>
    <w:r>
      <w:rPr>
        <w:noProof/>
      </w:rPr>
      <w:drawing>
        <wp:inline distT="0" distB="0" distL="0" distR="0" wp14:anchorId="4CA4A1B7" wp14:editId="62DCDA8C">
          <wp:extent cx="1452467" cy="1228344"/>
          <wp:effectExtent l="0" t="0" r="0" b="0"/>
          <wp:docPr id="4" name="Picture 4"/>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
                    <a:extLst>
                      <a:ext uri="{28A0092B-C50C-407E-A947-70E740481C1C}">
                        <a14:useLocalDpi xmlns:a14="http://schemas.microsoft.com/office/drawing/2010/main" val="0"/>
                      </a:ext>
                    </a:extLst>
                  </a:blip>
                  <a:stretch>
                    <a:fillRect/>
                  </a:stretch>
                </pic:blipFill>
                <pic:spPr>
                  <a:xfrm>
                    <a:off x="0" y="0"/>
                    <a:ext cx="1452467" cy="1228344"/>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93396C" w14:textId="77777777" w:rsidR="008B08A8" w:rsidRDefault="008B08A8" w:rsidP="008B08A8">
    <w:pPr>
      <w:pStyle w:val="HeaderProposal"/>
    </w:pPr>
    <w:r>
      <w:rPr>
        <w:noProof/>
      </w:rPr>
      <w:drawing>
        <wp:inline distT="0" distB="0" distL="0" distR="0" wp14:anchorId="4DB90A5F" wp14:editId="4ECFAC5D">
          <wp:extent cx="1452467" cy="1228344"/>
          <wp:effectExtent l="0" t="0" r="0" b="0"/>
          <wp:docPr id="5" name="Picture 5"/>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1452467" cy="12283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445FD"/>
    <w:multiLevelType w:val="multilevel"/>
    <w:tmpl w:val="13563602"/>
    <w:name w:val="PwCListBullets36"/>
    <w:lvl w:ilvl="0">
      <w:start w:val="1"/>
      <w:numFmt w:val="bullet"/>
      <w:pStyle w:val="ListSpaceBullet"/>
      <w:lvlText w:val=""/>
      <w:lvlJc w:val="left"/>
      <w:pPr>
        <w:ind w:left="567" w:hanging="567"/>
      </w:pPr>
      <w:rPr>
        <w:rFonts w:ascii="Symbol" w:hAnsi="Symbol" w:hint="default"/>
      </w:rPr>
    </w:lvl>
    <w:lvl w:ilvl="1">
      <w:start w:val="1"/>
      <w:numFmt w:val="bullet"/>
      <w:pStyle w:val="ListSpaceBullet2"/>
      <w:lvlText w:val=""/>
      <w:lvlJc w:val="left"/>
      <w:pPr>
        <w:ind w:left="1134" w:hanging="567"/>
      </w:pPr>
      <w:rPr>
        <w:rFonts w:ascii="Symbol" w:hAnsi="Symbol" w:hint="default"/>
      </w:rPr>
    </w:lvl>
    <w:lvl w:ilvl="2">
      <w:start w:val="1"/>
      <w:numFmt w:val="bullet"/>
      <w:pStyle w:val="ListSpaceBullet3"/>
      <w:lvlText w:val="◦"/>
      <w:lvlJc w:val="left"/>
      <w:pPr>
        <w:ind w:left="1701" w:hanging="567"/>
      </w:pPr>
      <w:rPr>
        <w:rFonts w:ascii="Georgia" w:hAnsi="Georgia"/>
      </w:rPr>
    </w:lvl>
    <w:lvl w:ilvl="3">
      <w:start w:val="1"/>
      <w:numFmt w:val="bullet"/>
      <w:pStyle w:val="ListSpaceBullet4"/>
      <w:lvlText w:val=""/>
      <w:lvlJc w:val="left"/>
      <w:pPr>
        <w:ind w:left="2268" w:hanging="567"/>
      </w:pPr>
      <w:rPr>
        <w:rFonts w:ascii="Symbol" w:hAnsi="Symbol" w:hint="default"/>
      </w:rPr>
    </w:lvl>
    <w:lvl w:ilvl="4">
      <w:start w:val="1"/>
      <w:numFmt w:val="bullet"/>
      <w:pStyle w:val="ListSpaceBullet5"/>
      <w:lvlText w:val="~"/>
      <w:lvlJc w:val="left"/>
      <w:pPr>
        <w:ind w:left="2835" w:hanging="567"/>
      </w:pPr>
      <w:rPr>
        <w:rFonts w:ascii="Georgia" w:hAnsi="Georgia"/>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A90531"/>
    <w:multiLevelType w:val="multilevel"/>
    <w:tmpl w:val="A54E4C84"/>
    <w:name w:val="Headings33"/>
    <w:lvl w:ilvl="0">
      <w:start w:val="1"/>
      <w:numFmt w:val="decimal"/>
      <w:pStyle w:val="Heading1"/>
      <w:lvlText w:val="%1."/>
      <w:lvlJc w:val="left"/>
      <w:pPr>
        <w:ind w:left="567" w:hanging="567"/>
      </w:pPr>
      <w:rPr>
        <w:rFonts w:ascii="Georgia" w:hAnsi="Georgia"/>
      </w:rPr>
    </w:lvl>
    <w:lvl w:ilvl="1">
      <w:start w:val="1"/>
      <w:numFmt w:val="decimal"/>
      <w:pStyle w:val="Heading2"/>
      <w:lvlText w:val="%1.%2."/>
      <w:lvlJc w:val="left"/>
      <w:pPr>
        <w:ind w:left="680" w:hanging="680"/>
      </w:pPr>
      <w:rPr>
        <w:rFonts w:ascii="Georgia" w:hAnsi="Georgia"/>
      </w:rPr>
    </w:lvl>
    <w:lvl w:ilvl="2">
      <w:start w:val="1"/>
      <w:numFmt w:val="decimal"/>
      <w:pStyle w:val="Heading3"/>
      <w:lvlText w:val="%1.%2.%3."/>
      <w:lvlJc w:val="left"/>
      <w:pPr>
        <w:ind w:left="794" w:hanging="794"/>
      </w:pPr>
      <w:rPr>
        <w:rFonts w:ascii="Georgia" w:hAnsi="Georgia"/>
      </w:rPr>
    </w:lvl>
    <w:lvl w:ilvl="3">
      <w:start w:val="1"/>
      <w:numFmt w:val="decimal"/>
      <w:pStyle w:val="Heading4"/>
      <w:lvlText w:val="%1.%2.%3.%4."/>
      <w:lvlJc w:val="left"/>
      <w:pPr>
        <w:ind w:left="907" w:hanging="907"/>
      </w:pPr>
      <w:rPr>
        <w:rFonts w:ascii="Georgia" w:hAnsi="Georgia"/>
      </w:rPr>
    </w:lvl>
    <w:lvl w:ilvl="4">
      <w:start w:val="1"/>
      <w:numFmt w:val="decimal"/>
      <w:pStyle w:val="Heading5"/>
      <w:lvlText w:val="%1.%2.%3.%4.%5."/>
      <w:lvlJc w:val="left"/>
      <w:pPr>
        <w:ind w:left="1021" w:hanging="1021"/>
      </w:pPr>
      <w:rPr>
        <w:rFonts w:ascii="Georgia" w:hAnsi="Georgia"/>
      </w:rPr>
    </w:lvl>
    <w:lvl w:ilvl="5">
      <w:start w:val="1"/>
      <w:numFmt w:val="decimal"/>
      <w:pStyle w:val="Heading6"/>
      <w:lvlText w:val="%1.%2.%3.%4.%5.%6."/>
      <w:lvlJc w:val="left"/>
      <w:pPr>
        <w:ind w:left="1134" w:hanging="1134"/>
      </w:pPr>
      <w:rPr>
        <w:rFonts w:ascii="Georgia" w:hAnsi="Georgia"/>
      </w:rPr>
    </w:lvl>
    <w:lvl w:ilvl="6">
      <w:start w:val="1"/>
      <w:numFmt w:val="decimal"/>
      <w:pStyle w:val="Heading7"/>
      <w:lvlText w:val="%1.%2.%3.%4.%5.%6.%7."/>
      <w:lvlJc w:val="left"/>
      <w:pPr>
        <w:ind w:left="1247" w:hanging="1247"/>
      </w:pPr>
      <w:rPr>
        <w:rFonts w:ascii="Georgia" w:hAnsi="Georgia"/>
      </w:rPr>
    </w:lvl>
    <w:lvl w:ilvl="7">
      <w:start w:val="1"/>
      <w:numFmt w:val="decimal"/>
      <w:pStyle w:val="Heading8"/>
      <w:lvlText w:val="%1.%2.%3.%4.%5.%6.%7.%8."/>
      <w:lvlJc w:val="left"/>
      <w:pPr>
        <w:ind w:left="1361" w:hanging="1361"/>
      </w:pPr>
      <w:rPr>
        <w:rFonts w:ascii="Georgia" w:hAnsi="Georgia"/>
      </w:rPr>
    </w:lvl>
    <w:lvl w:ilvl="8">
      <w:start w:val="1"/>
      <w:numFmt w:val="decimal"/>
      <w:pStyle w:val="Heading9"/>
      <w:lvlText w:val="%1.%2.%3.%4.%5.%6.%7.%8.%9."/>
      <w:lvlJc w:val="left"/>
      <w:pPr>
        <w:ind w:left="1474" w:hanging="1474"/>
      </w:pPr>
      <w:rPr>
        <w:rFonts w:ascii="Georgia" w:hAnsi="Georgia"/>
      </w:rPr>
    </w:lvl>
  </w:abstractNum>
  <w:abstractNum w:abstractNumId="2" w15:restartNumberingAfterBreak="0">
    <w:nsid w:val="07417178"/>
    <w:multiLevelType w:val="multilevel"/>
    <w:tmpl w:val="DC5C600C"/>
    <w:name w:val="PwCListBullets35"/>
    <w:lvl w:ilvl="0">
      <w:start w:val="1"/>
      <w:numFmt w:val="bullet"/>
      <w:pStyle w:val="ListNSBullet"/>
      <w:lvlText w:val=""/>
      <w:lvlJc w:val="left"/>
      <w:pPr>
        <w:ind w:left="567" w:hanging="567"/>
      </w:pPr>
      <w:rPr>
        <w:rFonts w:ascii="Symbol" w:hAnsi="Symbol" w:hint="default"/>
      </w:rPr>
    </w:lvl>
    <w:lvl w:ilvl="1">
      <w:start w:val="1"/>
      <w:numFmt w:val="bullet"/>
      <w:pStyle w:val="ListNSBullet2"/>
      <w:lvlText w:val=""/>
      <w:lvlJc w:val="left"/>
      <w:pPr>
        <w:ind w:left="1134" w:hanging="567"/>
      </w:pPr>
      <w:rPr>
        <w:rFonts w:ascii="Symbol" w:hAnsi="Symbol" w:hint="default"/>
      </w:rPr>
    </w:lvl>
    <w:lvl w:ilvl="2">
      <w:start w:val="1"/>
      <w:numFmt w:val="bullet"/>
      <w:pStyle w:val="ListNSBullet3"/>
      <w:lvlText w:val="◦"/>
      <w:lvlJc w:val="left"/>
      <w:pPr>
        <w:ind w:left="1701" w:hanging="567"/>
      </w:pPr>
      <w:rPr>
        <w:rFonts w:ascii="Georgia" w:hAnsi="Georgia"/>
      </w:rPr>
    </w:lvl>
    <w:lvl w:ilvl="3">
      <w:start w:val="1"/>
      <w:numFmt w:val="bullet"/>
      <w:pStyle w:val="ListNSBullet4"/>
      <w:lvlText w:val=""/>
      <w:lvlJc w:val="left"/>
      <w:pPr>
        <w:ind w:left="2268" w:hanging="567"/>
      </w:pPr>
      <w:rPr>
        <w:rFonts w:ascii="Symbol" w:hAnsi="Symbol" w:hint="default"/>
      </w:rPr>
    </w:lvl>
    <w:lvl w:ilvl="4">
      <w:start w:val="1"/>
      <w:numFmt w:val="bullet"/>
      <w:pStyle w:val="ListNSBullet5"/>
      <w:lvlText w:val="~"/>
      <w:lvlJc w:val="left"/>
      <w:pPr>
        <w:ind w:left="2835" w:hanging="567"/>
      </w:pPr>
      <w:rPr>
        <w:rFonts w:ascii="Georgia" w:hAnsi="Georgia"/>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84204C2"/>
    <w:multiLevelType w:val="multilevel"/>
    <w:tmpl w:val="6220F2E4"/>
    <w:name w:val="PwCListBullets15"/>
    <w:numStyleLink w:val="PwCListBullets1"/>
  </w:abstractNum>
  <w:abstractNum w:abstractNumId="4" w15:restartNumberingAfterBreak="0">
    <w:nsid w:val="0984408E"/>
    <w:multiLevelType w:val="multilevel"/>
    <w:tmpl w:val="0508789A"/>
    <w:name w:val="PwCListNumbers1"/>
    <w:styleLink w:val="PwCListNumbers1"/>
    <w:lvl w:ilvl="0">
      <w:start w:val="1"/>
      <w:numFmt w:val="decimal"/>
      <w:lvlText w:val="%1."/>
      <w:lvlJc w:val="left"/>
      <w:pPr>
        <w:tabs>
          <w:tab w:val="num" w:pos="397"/>
        </w:tabs>
        <w:ind w:left="397" w:hanging="397"/>
      </w:pPr>
      <w:rPr>
        <w:rFonts w:hint="default"/>
      </w:rPr>
    </w:lvl>
    <w:lvl w:ilvl="1">
      <w:start w:val="1"/>
      <w:numFmt w:val="lowerLetter"/>
      <w:lvlText w:val="%2."/>
      <w:lvlJc w:val="left"/>
      <w:pPr>
        <w:tabs>
          <w:tab w:val="num" w:pos="794"/>
        </w:tabs>
        <w:ind w:left="794" w:hanging="397"/>
      </w:pPr>
      <w:rPr>
        <w:rFonts w:hint="default"/>
      </w:rPr>
    </w:lvl>
    <w:lvl w:ilvl="2">
      <w:start w:val="1"/>
      <w:numFmt w:val="lowerRoman"/>
      <w:lvlText w:val="%3."/>
      <w:lvlJc w:val="left"/>
      <w:pPr>
        <w:tabs>
          <w:tab w:val="num" w:pos="1191"/>
        </w:tabs>
        <w:ind w:left="1191" w:hanging="397"/>
      </w:pPr>
      <w:rPr>
        <w:rFonts w:hint="default"/>
      </w:rPr>
    </w:lvl>
    <w:lvl w:ilvl="3">
      <w:start w:val="1"/>
      <w:numFmt w:val="decimal"/>
      <w:lvlText w:val="%4."/>
      <w:lvlJc w:val="left"/>
      <w:pPr>
        <w:tabs>
          <w:tab w:val="num" w:pos="1588"/>
        </w:tabs>
        <w:ind w:left="1588" w:hanging="397"/>
      </w:pPr>
      <w:rPr>
        <w:rFonts w:hint="default"/>
      </w:rPr>
    </w:lvl>
    <w:lvl w:ilvl="4">
      <w:start w:val="1"/>
      <w:numFmt w:val="lowerLetter"/>
      <w:lvlText w:val="%5."/>
      <w:lvlJc w:val="left"/>
      <w:pPr>
        <w:tabs>
          <w:tab w:val="num" w:pos="1985"/>
        </w:tabs>
        <w:ind w:left="1985" w:hanging="397"/>
      </w:pPr>
      <w:rPr>
        <w:rFonts w:hint="default"/>
      </w:rPr>
    </w:lvl>
    <w:lvl w:ilvl="5">
      <w:start w:val="1"/>
      <w:numFmt w:val="lowerRoman"/>
      <w:lvlText w:val="%6."/>
      <w:lvlJc w:val="left"/>
      <w:pPr>
        <w:tabs>
          <w:tab w:val="num" w:pos="2381"/>
        </w:tabs>
        <w:ind w:left="2382" w:hanging="397"/>
      </w:pPr>
      <w:rPr>
        <w:rFonts w:hint="default"/>
      </w:rPr>
    </w:lvl>
    <w:lvl w:ilvl="6">
      <w:start w:val="1"/>
      <w:numFmt w:val="decimal"/>
      <w:lvlText w:val="%7."/>
      <w:lvlJc w:val="left"/>
      <w:pPr>
        <w:tabs>
          <w:tab w:val="num" w:pos="2778"/>
        </w:tabs>
        <w:ind w:left="2779" w:hanging="397"/>
      </w:pPr>
      <w:rPr>
        <w:rFonts w:hint="default"/>
      </w:rPr>
    </w:lvl>
    <w:lvl w:ilvl="7">
      <w:start w:val="1"/>
      <w:numFmt w:val="lowerLetter"/>
      <w:lvlText w:val="%8."/>
      <w:lvlJc w:val="left"/>
      <w:pPr>
        <w:tabs>
          <w:tab w:val="num" w:pos="3175"/>
        </w:tabs>
        <w:ind w:left="3176" w:hanging="397"/>
      </w:pPr>
      <w:rPr>
        <w:rFonts w:hint="default"/>
      </w:rPr>
    </w:lvl>
    <w:lvl w:ilvl="8">
      <w:start w:val="1"/>
      <w:numFmt w:val="lowerRoman"/>
      <w:lvlText w:val="%9."/>
      <w:lvlJc w:val="left"/>
      <w:pPr>
        <w:tabs>
          <w:tab w:val="num" w:pos="3572"/>
        </w:tabs>
        <w:ind w:left="3573" w:hanging="397"/>
      </w:pPr>
      <w:rPr>
        <w:rFonts w:hint="default"/>
      </w:rPr>
    </w:lvl>
  </w:abstractNum>
  <w:abstractNum w:abstractNumId="5" w15:restartNumberingAfterBreak="0">
    <w:nsid w:val="11453771"/>
    <w:multiLevelType w:val="multilevel"/>
    <w:tmpl w:val="C49A0456"/>
    <w:name w:val="PwCListBullets33"/>
    <w:lvl w:ilvl="0">
      <w:start w:val="1"/>
      <w:numFmt w:val="bullet"/>
      <w:pStyle w:val="ListBullet"/>
      <w:lvlText w:val=""/>
      <w:lvlJc w:val="left"/>
      <w:pPr>
        <w:ind w:left="567" w:hanging="567"/>
      </w:pPr>
      <w:rPr>
        <w:rFonts w:ascii="Symbol" w:hAnsi="Symbol" w:hint="default"/>
      </w:rPr>
    </w:lvl>
    <w:lvl w:ilvl="1">
      <w:start w:val="1"/>
      <w:numFmt w:val="bullet"/>
      <w:pStyle w:val="ListBullet2"/>
      <w:lvlText w:val=""/>
      <w:lvlJc w:val="left"/>
      <w:pPr>
        <w:ind w:left="1134" w:hanging="567"/>
      </w:pPr>
      <w:rPr>
        <w:rFonts w:ascii="Symbol" w:hAnsi="Symbol" w:hint="default"/>
      </w:rPr>
    </w:lvl>
    <w:lvl w:ilvl="2">
      <w:start w:val="1"/>
      <w:numFmt w:val="bullet"/>
      <w:pStyle w:val="ListBullet3"/>
      <w:lvlText w:val="◦"/>
      <w:lvlJc w:val="left"/>
      <w:pPr>
        <w:ind w:left="1701" w:hanging="567"/>
      </w:pPr>
      <w:rPr>
        <w:rFonts w:ascii="Georgia" w:hAnsi="Georgia"/>
      </w:rPr>
    </w:lvl>
    <w:lvl w:ilvl="3">
      <w:start w:val="1"/>
      <w:numFmt w:val="bullet"/>
      <w:pStyle w:val="ListBullet4"/>
      <w:lvlText w:val=""/>
      <w:lvlJc w:val="left"/>
      <w:pPr>
        <w:ind w:left="2268" w:hanging="567"/>
      </w:pPr>
      <w:rPr>
        <w:rFonts w:ascii="Symbol" w:hAnsi="Symbol" w:hint="default"/>
      </w:rPr>
    </w:lvl>
    <w:lvl w:ilvl="4">
      <w:start w:val="1"/>
      <w:numFmt w:val="bullet"/>
      <w:pStyle w:val="ListBullet5"/>
      <w:lvlText w:val="~"/>
      <w:lvlJc w:val="left"/>
      <w:pPr>
        <w:ind w:left="2835" w:hanging="567"/>
      </w:pPr>
      <w:rPr>
        <w:rFonts w:ascii="Georgia" w:hAnsi="Georgia"/>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1AD4DE4"/>
    <w:multiLevelType w:val="multilevel"/>
    <w:tmpl w:val="04130023"/>
    <w:styleLink w:val="ArticleSection"/>
    <w:lvl w:ilvl="0">
      <w:start w:val="1"/>
      <w:numFmt w:val="upperRoman"/>
      <w:lvlText w:val="Article %1."/>
      <w:lvlJc w:val="left"/>
      <w:pPr>
        <w:ind w:left="0" w:firstLine="0"/>
      </w:pPr>
      <w:rPr>
        <w:color w:val="auto"/>
        <w:spacing w:val="0"/>
        <w:kern w:val="0"/>
        <w:u w:val="none"/>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17AE3077"/>
    <w:multiLevelType w:val="hybridMultilevel"/>
    <w:tmpl w:val="0C1E3376"/>
    <w:lvl w:ilvl="0" w:tplc="0409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EB576D"/>
    <w:multiLevelType w:val="multilevel"/>
    <w:tmpl w:val="7C6A7CD8"/>
    <w:name w:val="Headings"/>
    <w:lvl w:ilvl="0">
      <w:start w:val="1"/>
      <w:numFmt w:val="decimal"/>
      <w:lvlText w:val="%1"/>
      <w:lvlJc w:val="left"/>
      <w:pPr>
        <w:ind w:left="567" w:hanging="567"/>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47" w:hanging="1247"/>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474" w:hanging="1474"/>
      </w:pPr>
      <w:rPr>
        <w:rFonts w:hint="default"/>
      </w:rPr>
    </w:lvl>
  </w:abstractNum>
  <w:abstractNum w:abstractNumId="9" w15:restartNumberingAfterBreak="0">
    <w:nsid w:val="191A2D33"/>
    <w:multiLevelType w:val="multilevel"/>
    <w:tmpl w:val="CB364AEE"/>
    <w:name w:val="PwCListNumber33"/>
    <w:lvl w:ilvl="0">
      <w:start w:val="1"/>
      <w:numFmt w:val="decimal"/>
      <w:pStyle w:val="ListNumber"/>
      <w:lvlText w:val="%1."/>
      <w:lvlJc w:val="left"/>
      <w:pPr>
        <w:ind w:left="567" w:hanging="567"/>
      </w:pPr>
      <w:rPr>
        <w:rFonts w:ascii="Georgia" w:hAnsi="Georgia"/>
      </w:rPr>
    </w:lvl>
    <w:lvl w:ilvl="1">
      <w:start w:val="1"/>
      <w:numFmt w:val="lowerLetter"/>
      <w:pStyle w:val="ListNumber2"/>
      <w:lvlText w:val="%2."/>
      <w:lvlJc w:val="left"/>
      <w:pPr>
        <w:ind w:left="1134" w:hanging="567"/>
      </w:pPr>
      <w:rPr>
        <w:rFonts w:ascii="Georgia" w:hAnsi="Georgia"/>
      </w:rPr>
    </w:lvl>
    <w:lvl w:ilvl="2">
      <w:start w:val="1"/>
      <w:numFmt w:val="lowerRoman"/>
      <w:pStyle w:val="ListNumber3"/>
      <w:lvlText w:val="%3."/>
      <w:lvlJc w:val="left"/>
      <w:pPr>
        <w:ind w:left="1701" w:hanging="567"/>
      </w:pPr>
      <w:rPr>
        <w:rFonts w:ascii="Georgia" w:hAnsi="Georgia"/>
      </w:rPr>
    </w:lvl>
    <w:lvl w:ilvl="3">
      <w:start w:val="1"/>
      <w:numFmt w:val="decimal"/>
      <w:pStyle w:val="ListNumber4"/>
      <w:lvlText w:val="%4."/>
      <w:lvlJc w:val="left"/>
      <w:pPr>
        <w:ind w:left="2268" w:hanging="567"/>
      </w:pPr>
      <w:rPr>
        <w:rFonts w:ascii="Georgia" w:hAnsi="Georgia"/>
      </w:rPr>
    </w:lvl>
    <w:lvl w:ilvl="4">
      <w:start w:val="1"/>
      <w:numFmt w:val="lowerLetter"/>
      <w:pStyle w:val="ListNumber5"/>
      <w:lvlText w:val="%5."/>
      <w:lvlJc w:val="left"/>
      <w:pPr>
        <w:ind w:left="2835" w:hanging="567"/>
      </w:pPr>
      <w:rPr>
        <w:rFonts w:ascii="Georgia" w:hAnsi="Georgia"/>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D4F0848"/>
    <w:multiLevelType w:val="hybridMultilevel"/>
    <w:tmpl w:val="D15082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1FA1A8D"/>
    <w:multiLevelType w:val="multilevel"/>
    <w:tmpl w:val="EC44A4F4"/>
    <w:lvl w:ilvl="0">
      <w:start w:val="1"/>
      <w:numFmt w:val="bullet"/>
      <w:lvlText w:val=""/>
      <w:lvlJc w:val="left"/>
      <w:pPr>
        <w:ind w:left="567" w:hanging="567"/>
      </w:pPr>
      <w:rPr>
        <w:rFonts w:ascii="Symbol" w:hAnsi="Symbol" w:hint="default"/>
      </w:rPr>
    </w:lvl>
    <w:lvl w:ilvl="1">
      <w:start w:val="1"/>
      <w:numFmt w:val="bullet"/>
      <w:lvlText w:val=""/>
      <w:lvlJc w:val="left"/>
      <w:pPr>
        <w:ind w:left="1134" w:hanging="567"/>
      </w:pPr>
      <w:rPr>
        <w:rFonts w:ascii="Symbol" w:hAnsi="Symbol" w:hint="default"/>
      </w:rPr>
    </w:lvl>
    <w:lvl w:ilvl="2">
      <w:start w:val="1"/>
      <w:numFmt w:val="bullet"/>
      <w:lvlText w:val="◦"/>
      <w:lvlJc w:val="left"/>
      <w:pPr>
        <w:ind w:left="1701" w:hanging="567"/>
      </w:p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B62FBF"/>
    <w:multiLevelType w:val="multilevel"/>
    <w:tmpl w:val="6220F2E4"/>
    <w:name w:val="PwCListBullets16"/>
    <w:numStyleLink w:val="PwCListBullets1"/>
  </w:abstractNum>
  <w:abstractNum w:abstractNumId="13" w15:restartNumberingAfterBreak="0">
    <w:nsid w:val="270C3AB4"/>
    <w:multiLevelType w:val="multilevel"/>
    <w:tmpl w:val="0413001D"/>
    <w:name w:val="Appendices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AF667C2"/>
    <w:multiLevelType w:val="multilevel"/>
    <w:tmpl w:val="6220F2E4"/>
    <w:name w:val="PwCListBullets13"/>
    <w:numStyleLink w:val="PwCListBullets1"/>
  </w:abstractNum>
  <w:abstractNum w:abstractNumId="15" w15:restartNumberingAfterBreak="0">
    <w:nsid w:val="2C4F7CAB"/>
    <w:multiLevelType w:val="multilevel"/>
    <w:tmpl w:val="9514C61C"/>
    <w:name w:val="PwCListNumber37"/>
    <w:lvl w:ilvl="0">
      <w:start w:val="1"/>
      <w:numFmt w:val="decimal"/>
      <w:lvlText w:val="%1."/>
      <w:lvlJc w:val="left"/>
      <w:pPr>
        <w:ind w:left="567" w:hanging="567"/>
      </w:pPr>
      <w:rPr>
        <w:rFonts w:ascii="Georgia" w:hAnsi="Georgia"/>
      </w:rPr>
    </w:lvl>
    <w:lvl w:ilvl="1">
      <w:start w:val="1"/>
      <w:numFmt w:val="lowerLetter"/>
      <w:lvlText w:val="%2."/>
      <w:lvlJc w:val="left"/>
      <w:pPr>
        <w:ind w:left="1134" w:hanging="567"/>
      </w:pPr>
      <w:rPr>
        <w:rFonts w:ascii="Georgia" w:hAnsi="Georgia"/>
      </w:rPr>
    </w:lvl>
    <w:lvl w:ilvl="2">
      <w:start w:val="1"/>
      <w:numFmt w:val="lowerRoman"/>
      <w:lvlText w:val="%3."/>
      <w:lvlJc w:val="left"/>
      <w:pPr>
        <w:ind w:left="1701" w:hanging="567"/>
      </w:pPr>
      <w:rPr>
        <w:rFonts w:ascii="Georgia" w:hAnsi="Georgia"/>
      </w:rPr>
    </w:lvl>
    <w:lvl w:ilvl="3">
      <w:start w:val="1"/>
      <w:numFmt w:val="decimal"/>
      <w:lvlText w:val="%4."/>
      <w:lvlJc w:val="left"/>
      <w:pPr>
        <w:ind w:left="2268" w:hanging="567"/>
      </w:pPr>
      <w:rPr>
        <w:rFonts w:ascii="Georgia" w:hAnsi="Georgia"/>
      </w:rPr>
    </w:lvl>
    <w:lvl w:ilvl="4">
      <w:start w:val="1"/>
      <w:numFmt w:val="lowerLetter"/>
      <w:lvlText w:val="%5."/>
      <w:lvlJc w:val="left"/>
      <w:pPr>
        <w:ind w:left="2835" w:hanging="567"/>
      </w:pPr>
      <w:rPr>
        <w:rFonts w:ascii="Georgia" w:hAnsi="Georgia"/>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3CA13E8"/>
    <w:multiLevelType w:val="multilevel"/>
    <w:tmpl w:val="FC588738"/>
    <w:name w:val="PwCListBullets37"/>
    <w:lvl w:ilvl="0">
      <w:start w:val="1"/>
      <w:numFmt w:val="bullet"/>
      <w:pStyle w:val="SmallListBullet"/>
      <w:lvlText w:val=""/>
      <w:lvlJc w:val="left"/>
      <w:pPr>
        <w:ind w:left="567" w:hanging="567"/>
      </w:pPr>
      <w:rPr>
        <w:rFonts w:ascii="Symbol" w:hAnsi="Symbol" w:hint="default"/>
      </w:rPr>
    </w:lvl>
    <w:lvl w:ilvl="1">
      <w:start w:val="1"/>
      <w:numFmt w:val="bullet"/>
      <w:pStyle w:val="SmallListBullet2"/>
      <w:lvlText w:val=""/>
      <w:lvlJc w:val="left"/>
      <w:pPr>
        <w:ind w:left="1134" w:hanging="567"/>
      </w:pPr>
      <w:rPr>
        <w:rFonts w:ascii="Symbol" w:hAnsi="Symbol" w:hint="default"/>
      </w:rPr>
    </w:lvl>
    <w:lvl w:ilvl="2">
      <w:start w:val="1"/>
      <w:numFmt w:val="bullet"/>
      <w:pStyle w:val="SmallListBullet3"/>
      <w:lvlText w:val="◦"/>
      <w:lvlJc w:val="left"/>
      <w:pPr>
        <w:ind w:left="1701" w:hanging="567"/>
      </w:pPr>
      <w:rPr>
        <w:rFonts w:ascii="Georgia" w:hAnsi="Georgia"/>
      </w:rPr>
    </w:lvl>
    <w:lvl w:ilvl="3">
      <w:start w:val="1"/>
      <w:numFmt w:val="bullet"/>
      <w:lvlText w:val=""/>
      <w:lvlJc w:val="left"/>
      <w:pPr>
        <w:ind w:left="2268" w:hanging="567"/>
      </w:pPr>
      <w:rPr>
        <w:rFonts w:ascii="Symbol" w:hAnsi="Symbol" w:hint="default"/>
      </w:rPr>
    </w:lvl>
    <w:lvl w:ilvl="4">
      <w:start w:val="1"/>
      <w:numFmt w:val="bullet"/>
      <w:lvlText w:val="~"/>
      <w:lvlJc w:val="left"/>
      <w:pPr>
        <w:ind w:left="2835" w:hanging="567"/>
      </w:pPr>
      <w:rPr>
        <w:rFonts w:ascii="Georgia" w:hAnsi="Georgia"/>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77385F"/>
    <w:multiLevelType w:val="multilevel"/>
    <w:tmpl w:val="0508789A"/>
    <w:name w:val="PwCListNumbers12"/>
    <w:numStyleLink w:val="PwCListNumbers1"/>
  </w:abstractNum>
  <w:abstractNum w:abstractNumId="18" w15:restartNumberingAfterBreak="0">
    <w:nsid w:val="3D145FD4"/>
    <w:multiLevelType w:val="multilevel"/>
    <w:tmpl w:val="2C80770C"/>
    <w:name w:val="PwCListBullets17"/>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1134"/>
        </w:tabs>
        <w:ind w:left="1134" w:hanging="567"/>
      </w:pPr>
      <w:rPr>
        <w:rFonts w:ascii="Symbol" w:hAnsi="Symbol" w:hint="default"/>
      </w:rPr>
    </w:lvl>
    <w:lvl w:ilvl="2">
      <w:start w:val="1"/>
      <w:numFmt w:val="bullet"/>
      <w:lvlText w:val="◦"/>
      <w:lvlJc w:val="left"/>
      <w:pPr>
        <w:tabs>
          <w:tab w:val="num" w:pos="1701"/>
        </w:tabs>
        <w:ind w:left="1701" w:hanging="567"/>
      </w:pPr>
      <w:rPr>
        <w:rFonts w:ascii="Georgia" w:hAnsi="Georgia" w:hint="default"/>
      </w:rPr>
    </w:lvl>
    <w:lvl w:ilvl="3">
      <w:start w:val="1"/>
      <w:numFmt w:val="bullet"/>
      <w:lvlText w:val=""/>
      <w:lvlJc w:val="left"/>
      <w:pPr>
        <w:tabs>
          <w:tab w:val="num" w:pos="2268"/>
        </w:tabs>
        <w:ind w:left="2268" w:hanging="567"/>
      </w:pPr>
      <w:rPr>
        <w:rFonts w:ascii="Symbol" w:hAnsi="Symbol" w:hint="default"/>
      </w:rPr>
    </w:lvl>
    <w:lvl w:ilvl="4">
      <w:start w:val="1"/>
      <w:numFmt w:val="bullet"/>
      <w:lvlText w:val="~"/>
      <w:lvlJc w:val="left"/>
      <w:pPr>
        <w:tabs>
          <w:tab w:val="num" w:pos="2835"/>
        </w:tabs>
        <w:ind w:left="2835" w:hanging="567"/>
      </w:pPr>
      <w:rPr>
        <w:rFonts w:ascii="Georgia" w:hAnsi="Georgia" w:hint="default"/>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rPr>
    </w:lvl>
  </w:abstractNum>
  <w:abstractNum w:abstractNumId="19" w15:restartNumberingAfterBreak="0">
    <w:nsid w:val="3F5B408A"/>
    <w:multiLevelType w:val="multilevel"/>
    <w:tmpl w:val="FFA6481C"/>
    <w:name w:val="PwCListNumber35"/>
    <w:lvl w:ilvl="0">
      <w:start w:val="1"/>
      <w:numFmt w:val="decimal"/>
      <w:pStyle w:val="ListNSNumber"/>
      <w:lvlText w:val="%1."/>
      <w:lvlJc w:val="left"/>
      <w:pPr>
        <w:ind w:left="567" w:hanging="567"/>
      </w:pPr>
      <w:rPr>
        <w:rFonts w:ascii="Georgia" w:hAnsi="Georgia"/>
      </w:rPr>
    </w:lvl>
    <w:lvl w:ilvl="1">
      <w:start w:val="1"/>
      <w:numFmt w:val="lowerLetter"/>
      <w:pStyle w:val="ListNSNumber2"/>
      <w:lvlText w:val="%2."/>
      <w:lvlJc w:val="left"/>
      <w:pPr>
        <w:ind w:left="1134" w:hanging="567"/>
      </w:pPr>
      <w:rPr>
        <w:rFonts w:ascii="Georgia" w:hAnsi="Georgia"/>
      </w:rPr>
    </w:lvl>
    <w:lvl w:ilvl="2">
      <w:start w:val="1"/>
      <w:numFmt w:val="lowerRoman"/>
      <w:pStyle w:val="ListNSNumber3"/>
      <w:lvlText w:val="%3."/>
      <w:lvlJc w:val="left"/>
      <w:pPr>
        <w:ind w:left="1701" w:hanging="567"/>
      </w:pPr>
      <w:rPr>
        <w:rFonts w:ascii="Georgia" w:hAnsi="Georgia"/>
      </w:rPr>
    </w:lvl>
    <w:lvl w:ilvl="3">
      <w:start w:val="1"/>
      <w:numFmt w:val="decimal"/>
      <w:pStyle w:val="ListNSNumber4"/>
      <w:lvlText w:val="%4."/>
      <w:lvlJc w:val="left"/>
      <w:pPr>
        <w:ind w:left="2268" w:hanging="567"/>
      </w:pPr>
      <w:rPr>
        <w:rFonts w:ascii="Georgia" w:hAnsi="Georgia"/>
      </w:rPr>
    </w:lvl>
    <w:lvl w:ilvl="4">
      <w:start w:val="1"/>
      <w:numFmt w:val="lowerLetter"/>
      <w:pStyle w:val="ListNSNumber5"/>
      <w:lvlText w:val="%5."/>
      <w:lvlJc w:val="left"/>
      <w:pPr>
        <w:ind w:left="2835" w:hanging="567"/>
      </w:pPr>
      <w:rPr>
        <w:rFonts w:ascii="Georgia" w:hAnsi="Georgia"/>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40C803EE"/>
    <w:multiLevelType w:val="multilevel"/>
    <w:tmpl w:val="985A4402"/>
    <w:name w:val="AppendixNumbering"/>
    <w:lvl w:ilvl="0">
      <w:start w:val="1"/>
      <w:numFmt w:val="upperLetter"/>
      <w:lvlText w:val="%1"/>
      <w:lvlJc w:val="left"/>
      <w:pPr>
        <w:ind w:left="851" w:hanging="851"/>
      </w:pPr>
      <w:rPr>
        <w:rFonts w:hint="default"/>
      </w:rPr>
    </w:lvl>
    <w:lvl w:ilvl="1">
      <w:start w:val="1"/>
      <w:numFmt w:val="lowerLetter"/>
      <w:lvlText w:val="%2)"/>
      <w:lvlJc w:val="left"/>
      <w:pPr>
        <w:ind w:left="851" w:hanging="851"/>
      </w:pPr>
      <w:rPr>
        <w:rFonts w:hint="default"/>
      </w:rPr>
    </w:lvl>
    <w:lvl w:ilvl="2">
      <w:start w:val="1"/>
      <w:numFmt w:val="lowerRoman"/>
      <w:lvlText w:val="%3)"/>
      <w:lvlJc w:val="left"/>
      <w:pPr>
        <w:ind w:left="851" w:hanging="851"/>
      </w:pPr>
      <w:rPr>
        <w:rFonts w:hint="default"/>
      </w:rPr>
    </w:lvl>
    <w:lvl w:ilvl="3">
      <w:start w:val="1"/>
      <w:numFmt w:val="decimal"/>
      <w:lvlText w:val="(%4)"/>
      <w:lvlJc w:val="left"/>
      <w:pPr>
        <w:ind w:left="851" w:hanging="851"/>
      </w:pPr>
      <w:rPr>
        <w:rFonts w:hint="default"/>
      </w:rPr>
    </w:lvl>
    <w:lvl w:ilvl="4">
      <w:start w:val="1"/>
      <w:numFmt w:val="lowerLetter"/>
      <w:lvlText w:val="(%5)"/>
      <w:lvlJc w:val="left"/>
      <w:pPr>
        <w:ind w:left="851" w:hanging="851"/>
      </w:pPr>
      <w:rPr>
        <w:rFonts w:hint="default"/>
      </w:rPr>
    </w:lvl>
    <w:lvl w:ilvl="5">
      <w:start w:val="1"/>
      <w:numFmt w:val="lowerRoman"/>
      <w:lvlText w:val="(%6)"/>
      <w:lvlJc w:val="left"/>
      <w:pPr>
        <w:ind w:left="851" w:hanging="851"/>
      </w:pPr>
      <w:rPr>
        <w:rFonts w:hint="default"/>
      </w:rPr>
    </w:lvl>
    <w:lvl w:ilvl="6">
      <w:start w:val="1"/>
      <w:numFmt w:val="decimal"/>
      <w:lvlText w:val="%7."/>
      <w:lvlJc w:val="left"/>
      <w:pPr>
        <w:ind w:left="851" w:hanging="851"/>
      </w:pPr>
      <w:rPr>
        <w:rFonts w:hint="default"/>
      </w:rPr>
    </w:lvl>
    <w:lvl w:ilvl="7">
      <w:start w:val="1"/>
      <w:numFmt w:val="lowerLetter"/>
      <w:lvlText w:val="%8."/>
      <w:lvlJc w:val="left"/>
      <w:pPr>
        <w:ind w:left="851" w:hanging="851"/>
      </w:pPr>
      <w:rPr>
        <w:rFonts w:hint="default"/>
      </w:rPr>
    </w:lvl>
    <w:lvl w:ilvl="8">
      <w:start w:val="1"/>
      <w:numFmt w:val="lowerRoman"/>
      <w:lvlText w:val="%9."/>
      <w:lvlJc w:val="left"/>
      <w:pPr>
        <w:ind w:left="851" w:hanging="851"/>
      </w:pPr>
      <w:rPr>
        <w:rFonts w:hint="default"/>
      </w:rPr>
    </w:lvl>
  </w:abstractNum>
  <w:abstractNum w:abstractNumId="21" w15:restartNumberingAfterBreak="0">
    <w:nsid w:val="44B16D24"/>
    <w:multiLevelType w:val="multilevel"/>
    <w:tmpl w:val="6220F2E4"/>
    <w:name w:val="PwCListBullets14"/>
    <w:numStyleLink w:val="PwCListBullets1"/>
  </w:abstractNum>
  <w:abstractNum w:abstractNumId="22" w15:restartNumberingAfterBreak="0">
    <w:nsid w:val="453135BA"/>
    <w:multiLevelType w:val="hybridMultilevel"/>
    <w:tmpl w:val="1EA4F212"/>
    <w:lvl w:ilvl="0" w:tplc="E9F4EBDC">
      <w:numFmt w:val="bullet"/>
      <w:lvlText w:val="-"/>
      <w:lvlJc w:val="left"/>
      <w:pPr>
        <w:ind w:left="720" w:hanging="360"/>
      </w:pPr>
      <w:rPr>
        <w:rFonts w:ascii="Georgia" w:eastAsiaTheme="minorHAnsi" w:hAnsi="Georg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8F82588"/>
    <w:multiLevelType w:val="multilevel"/>
    <w:tmpl w:val="0413001F"/>
    <w:styleLink w:val="111111"/>
    <w:lvl w:ilvl="0">
      <w:start w:val="1"/>
      <w:numFmt w:val="decimal"/>
      <w:lvlText w:val="%1."/>
      <w:lvlJc w:val="left"/>
      <w:pPr>
        <w:ind w:left="360" w:hanging="360"/>
      </w:pPr>
      <w:rPr>
        <w:color w:val="auto"/>
        <w:spacing w:val="0"/>
        <w:kern w:val="0"/>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94B747C"/>
    <w:multiLevelType w:val="multilevel"/>
    <w:tmpl w:val="0508789A"/>
    <w:name w:val="PwCListNumbers13"/>
    <w:numStyleLink w:val="PwCListNumbers1"/>
  </w:abstractNum>
  <w:abstractNum w:abstractNumId="25" w15:restartNumberingAfterBreak="0">
    <w:nsid w:val="4BA40899"/>
    <w:multiLevelType w:val="hybridMultilevel"/>
    <w:tmpl w:val="8EE0A64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4840A41"/>
    <w:multiLevelType w:val="multilevel"/>
    <w:tmpl w:val="0508789A"/>
    <w:name w:val="PwCListNumbers14"/>
    <w:numStyleLink w:val="PwCListNumbers1"/>
  </w:abstractNum>
  <w:abstractNum w:abstractNumId="27" w15:restartNumberingAfterBreak="0">
    <w:nsid w:val="55642580"/>
    <w:multiLevelType w:val="multilevel"/>
    <w:tmpl w:val="DFF8DF26"/>
    <w:name w:val="Appendices33"/>
    <w:lvl w:ilvl="0">
      <w:start w:val="1"/>
      <w:numFmt w:val="upperLetter"/>
      <w:pStyle w:val="Appendix1"/>
      <w:lvlText w:val="%1."/>
      <w:lvlJc w:val="left"/>
      <w:pPr>
        <w:ind w:left="567" w:hanging="567"/>
      </w:pPr>
      <w:rPr>
        <w:rFonts w:ascii="Georgia" w:hAnsi="Georgia"/>
      </w:rPr>
    </w:lvl>
    <w:lvl w:ilvl="1">
      <w:start w:val="1"/>
      <w:numFmt w:val="decimal"/>
      <w:pStyle w:val="Appendix2"/>
      <w:lvlText w:val="%1.%2."/>
      <w:lvlJc w:val="left"/>
      <w:pPr>
        <w:ind w:left="680" w:hanging="680"/>
      </w:pPr>
      <w:rPr>
        <w:rFonts w:ascii="Georgia" w:hAnsi="Georgia"/>
      </w:rPr>
    </w:lvl>
    <w:lvl w:ilvl="2">
      <w:start w:val="1"/>
      <w:numFmt w:val="decimal"/>
      <w:pStyle w:val="Appendix3"/>
      <w:lvlText w:val="%1.%2.%3."/>
      <w:lvlJc w:val="left"/>
      <w:pPr>
        <w:ind w:left="794" w:hanging="794"/>
      </w:pPr>
      <w:rPr>
        <w:rFonts w:ascii="Georgia" w:hAnsi="Georgia"/>
      </w:rPr>
    </w:lvl>
    <w:lvl w:ilvl="3">
      <w:start w:val="1"/>
      <w:numFmt w:val="decimal"/>
      <w:pStyle w:val="Appendix4"/>
      <w:lvlText w:val="%1.%2.%3.%4."/>
      <w:lvlJc w:val="left"/>
      <w:pPr>
        <w:ind w:left="907" w:hanging="907"/>
      </w:pPr>
      <w:rPr>
        <w:rFonts w:ascii="Georgia" w:hAnsi="Georgia"/>
      </w:rPr>
    </w:lvl>
    <w:lvl w:ilvl="4">
      <w:start w:val="1"/>
      <w:numFmt w:val="decimal"/>
      <w:pStyle w:val="Appendix5"/>
      <w:lvlText w:val="%1.%2.%3.%4.%5."/>
      <w:lvlJc w:val="left"/>
      <w:pPr>
        <w:ind w:left="1021" w:hanging="1021"/>
      </w:pPr>
      <w:rPr>
        <w:rFonts w:ascii="Georgia" w:hAnsi="Georgia"/>
      </w:rPr>
    </w:lvl>
    <w:lvl w:ilvl="5">
      <w:start w:val="1"/>
      <w:numFmt w:val="decimal"/>
      <w:pStyle w:val="Appendix6"/>
      <w:lvlText w:val="%1.%2.%3.%4.%5.%6."/>
      <w:lvlJc w:val="left"/>
      <w:pPr>
        <w:ind w:left="1134" w:hanging="1134"/>
      </w:pPr>
      <w:rPr>
        <w:rFonts w:ascii="Georgia" w:hAnsi="Georgia"/>
      </w:rPr>
    </w:lvl>
    <w:lvl w:ilvl="6">
      <w:start w:val="1"/>
      <w:numFmt w:val="decimal"/>
      <w:pStyle w:val="Appendix7"/>
      <w:lvlText w:val="%1.%2.%3.%4.%5.%6.%7."/>
      <w:lvlJc w:val="left"/>
      <w:pPr>
        <w:ind w:left="1247" w:hanging="1247"/>
      </w:pPr>
      <w:rPr>
        <w:rFonts w:ascii="Georgia" w:hAnsi="Georgia"/>
      </w:rPr>
    </w:lvl>
    <w:lvl w:ilvl="7">
      <w:start w:val="1"/>
      <w:numFmt w:val="decimal"/>
      <w:pStyle w:val="Appendix8"/>
      <w:lvlText w:val="%1.%2.%3.%4.%5.%6.%7.%8."/>
      <w:lvlJc w:val="left"/>
      <w:pPr>
        <w:ind w:left="1361" w:hanging="1361"/>
      </w:pPr>
      <w:rPr>
        <w:rFonts w:ascii="Georgia" w:hAnsi="Georgia"/>
      </w:rPr>
    </w:lvl>
    <w:lvl w:ilvl="8">
      <w:start w:val="1"/>
      <w:numFmt w:val="decimal"/>
      <w:pStyle w:val="Appendix9"/>
      <w:lvlText w:val="%1.%2.%3.%4.%5.%6.%7.%8.%9."/>
      <w:lvlJc w:val="left"/>
      <w:pPr>
        <w:ind w:left="1474" w:hanging="1474"/>
      </w:pPr>
      <w:rPr>
        <w:rFonts w:ascii="Georgia" w:hAnsi="Georgia"/>
      </w:rPr>
    </w:lvl>
  </w:abstractNum>
  <w:abstractNum w:abstractNumId="28" w15:restartNumberingAfterBreak="0">
    <w:nsid w:val="5C3D4B59"/>
    <w:multiLevelType w:val="multilevel"/>
    <w:tmpl w:val="6220F2E4"/>
    <w:name w:val="PwCListBullets12"/>
    <w:numStyleLink w:val="PwCListBullets1"/>
  </w:abstractNum>
  <w:abstractNum w:abstractNumId="29" w15:restartNumberingAfterBreak="0">
    <w:nsid w:val="5FAA43E0"/>
    <w:multiLevelType w:val="multilevel"/>
    <w:tmpl w:val="8B9C6D10"/>
    <w:name w:val="PwCListNumber36"/>
    <w:lvl w:ilvl="0">
      <w:start w:val="1"/>
      <w:numFmt w:val="decimal"/>
      <w:pStyle w:val="ListSpaceNumber"/>
      <w:lvlText w:val="%1."/>
      <w:lvlJc w:val="left"/>
      <w:pPr>
        <w:ind w:left="567" w:hanging="567"/>
      </w:pPr>
      <w:rPr>
        <w:rFonts w:ascii="Georgia" w:hAnsi="Georgia"/>
      </w:rPr>
    </w:lvl>
    <w:lvl w:ilvl="1">
      <w:start w:val="1"/>
      <w:numFmt w:val="lowerLetter"/>
      <w:pStyle w:val="ListSpaceNumber2"/>
      <w:lvlText w:val="%2."/>
      <w:lvlJc w:val="left"/>
      <w:pPr>
        <w:ind w:left="1134" w:hanging="567"/>
      </w:pPr>
      <w:rPr>
        <w:rFonts w:ascii="Georgia" w:hAnsi="Georgia"/>
      </w:rPr>
    </w:lvl>
    <w:lvl w:ilvl="2">
      <w:start w:val="1"/>
      <w:numFmt w:val="lowerRoman"/>
      <w:pStyle w:val="ListSpaceNumber3"/>
      <w:lvlText w:val="%3."/>
      <w:lvlJc w:val="left"/>
      <w:pPr>
        <w:ind w:left="1701" w:hanging="567"/>
      </w:pPr>
      <w:rPr>
        <w:rFonts w:ascii="Georgia" w:hAnsi="Georgia"/>
      </w:rPr>
    </w:lvl>
    <w:lvl w:ilvl="3">
      <w:start w:val="1"/>
      <w:numFmt w:val="decimal"/>
      <w:pStyle w:val="ListSpaceNumber4"/>
      <w:lvlText w:val="%4."/>
      <w:lvlJc w:val="left"/>
      <w:pPr>
        <w:ind w:left="2268" w:hanging="567"/>
      </w:pPr>
      <w:rPr>
        <w:rFonts w:ascii="Georgia" w:hAnsi="Georgia"/>
      </w:rPr>
    </w:lvl>
    <w:lvl w:ilvl="4">
      <w:start w:val="1"/>
      <w:numFmt w:val="lowerLetter"/>
      <w:pStyle w:val="ListSpaceNumber5"/>
      <w:lvlText w:val="%5."/>
      <w:lvlJc w:val="left"/>
      <w:pPr>
        <w:ind w:left="2835" w:hanging="567"/>
      </w:pPr>
      <w:rPr>
        <w:rFonts w:ascii="Georgia" w:hAnsi="Georgia"/>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2F23C61"/>
    <w:multiLevelType w:val="hybridMultilevel"/>
    <w:tmpl w:val="386CEFEE"/>
    <w:lvl w:ilvl="0" w:tplc="099CEFEC">
      <w:start w:val="1"/>
      <w:numFmt w:val="bullet"/>
      <w:pStyle w:val="InvisibleCommen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1" w15:restartNumberingAfterBreak="0">
    <w:nsid w:val="6BFE3F8E"/>
    <w:multiLevelType w:val="multilevel"/>
    <w:tmpl w:val="E676DBCA"/>
    <w:name w:val="PwCListNumber34"/>
    <w:lvl w:ilvl="0">
      <w:start w:val="1"/>
      <w:numFmt w:val="decimal"/>
      <w:pStyle w:val="NoteNumber"/>
      <w:lvlText w:val="%1."/>
      <w:lvlJc w:val="left"/>
      <w:pPr>
        <w:ind w:left="567" w:hanging="465"/>
      </w:pPr>
      <w:rPr>
        <w:rFonts w:ascii="Georgia" w:hAnsi="Georgi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02A3BCC"/>
    <w:multiLevelType w:val="multilevel"/>
    <w:tmpl w:val="0413001D"/>
    <w:styleLink w:val="1ai"/>
    <w:lvl w:ilvl="0">
      <w:start w:val="1"/>
      <w:numFmt w:val="decimal"/>
      <w:lvlText w:val="%1)"/>
      <w:lvlJc w:val="left"/>
      <w:pPr>
        <w:ind w:left="360" w:hanging="360"/>
      </w:pPr>
      <w:rPr>
        <w:color w:val="auto"/>
        <w:spacing w:val="0"/>
        <w:kern w:val="0"/>
        <w:u w:val="none"/>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2591CA9"/>
    <w:multiLevelType w:val="multilevel"/>
    <w:tmpl w:val="6220F2E4"/>
    <w:name w:val="PwCListBullets1"/>
    <w:styleLink w:val="PwCListBullets1"/>
    <w:lvl w:ilvl="0">
      <w:start w:val="1"/>
      <w:numFmt w:val="bullet"/>
      <w:lvlText w:val=""/>
      <w:lvlJc w:val="left"/>
      <w:pPr>
        <w:tabs>
          <w:tab w:val="num" w:pos="397"/>
        </w:tabs>
        <w:ind w:left="397" w:hanging="397"/>
      </w:pPr>
      <w:rPr>
        <w:rFonts w:ascii="Symbol" w:hAnsi="Symbol" w:hint="default"/>
      </w:rPr>
    </w:lvl>
    <w:lvl w:ilvl="1">
      <w:start w:val="1"/>
      <w:numFmt w:val="bullet"/>
      <w:lvlText w:val=""/>
      <w:lvlJc w:val="left"/>
      <w:pPr>
        <w:tabs>
          <w:tab w:val="num" w:pos="794"/>
        </w:tabs>
        <w:ind w:left="794" w:hanging="397"/>
      </w:pPr>
      <w:rPr>
        <w:rFonts w:ascii="Symbol" w:hAnsi="Symbol" w:hint="default"/>
      </w:rPr>
    </w:lvl>
    <w:lvl w:ilvl="2">
      <w:start w:val="1"/>
      <w:numFmt w:val="bullet"/>
      <w:lvlText w:val=""/>
      <w:lvlJc w:val="left"/>
      <w:pPr>
        <w:tabs>
          <w:tab w:val="num" w:pos="1191"/>
        </w:tabs>
        <w:ind w:left="1191" w:hanging="397"/>
      </w:pPr>
      <w:rPr>
        <w:rFonts w:ascii="Symbol" w:hAnsi="Symbol"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985"/>
        </w:tabs>
        <w:ind w:left="1985" w:hanging="397"/>
      </w:pPr>
      <w:rPr>
        <w:rFonts w:ascii="Symbol" w:hAnsi="Symbol" w:hint="default"/>
      </w:rPr>
    </w:lvl>
    <w:lvl w:ilvl="5">
      <w:start w:val="1"/>
      <w:numFmt w:val="bullet"/>
      <w:lvlText w:val=""/>
      <w:lvlJc w:val="left"/>
      <w:pPr>
        <w:tabs>
          <w:tab w:val="num" w:pos="2381"/>
        </w:tabs>
        <w:ind w:left="2382" w:hanging="397"/>
      </w:pPr>
      <w:rPr>
        <w:rFonts w:ascii="Symbol" w:hAnsi="Symbol" w:hint="default"/>
      </w:rPr>
    </w:lvl>
    <w:lvl w:ilvl="6">
      <w:start w:val="1"/>
      <w:numFmt w:val="bullet"/>
      <w:lvlText w:val=""/>
      <w:lvlJc w:val="left"/>
      <w:pPr>
        <w:tabs>
          <w:tab w:val="num" w:pos="2778"/>
        </w:tabs>
        <w:ind w:left="2779" w:hanging="397"/>
      </w:pPr>
      <w:rPr>
        <w:rFonts w:ascii="Symbol" w:hAnsi="Symbol" w:hint="default"/>
      </w:rPr>
    </w:lvl>
    <w:lvl w:ilvl="7">
      <w:start w:val="1"/>
      <w:numFmt w:val="bullet"/>
      <w:lvlText w:val=""/>
      <w:lvlJc w:val="left"/>
      <w:pPr>
        <w:tabs>
          <w:tab w:val="num" w:pos="3175"/>
        </w:tabs>
        <w:ind w:left="3176" w:hanging="397"/>
      </w:pPr>
      <w:rPr>
        <w:rFonts w:ascii="Symbol" w:hAnsi="Symbol" w:hint="default"/>
      </w:rPr>
    </w:lvl>
    <w:lvl w:ilvl="8">
      <w:start w:val="1"/>
      <w:numFmt w:val="bullet"/>
      <w:lvlText w:val=""/>
      <w:lvlJc w:val="left"/>
      <w:pPr>
        <w:tabs>
          <w:tab w:val="num" w:pos="3572"/>
        </w:tabs>
        <w:ind w:left="3573" w:hanging="397"/>
      </w:pPr>
      <w:rPr>
        <w:rFonts w:ascii="Symbol" w:hAnsi="Symbol" w:hint="default"/>
      </w:rPr>
    </w:lvl>
  </w:abstractNum>
  <w:abstractNum w:abstractNumId="34" w15:restartNumberingAfterBreak="0">
    <w:nsid w:val="7355491B"/>
    <w:multiLevelType w:val="multilevel"/>
    <w:tmpl w:val="BFF248D8"/>
    <w:name w:val="Appendices34"/>
    <w:lvl w:ilvl="0">
      <w:start w:val="1"/>
      <w:numFmt w:val="upperLetter"/>
      <w:pStyle w:val="AppendixNumbering"/>
      <w:lvlText w:val="%1."/>
      <w:lvlJc w:val="left"/>
      <w:pPr>
        <w:ind w:left="567" w:hanging="567"/>
      </w:pPr>
      <w:rPr>
        <w:rFonts w:ascii="Georgia" w:hAnsi="Georgia"/>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764E6823"/>
    <w:multiLevelType w:val="multilevel"/>
    <w:tmpl w:val="1CECF9B2"/>
    <w:name w:val="Appendices22"/>
    <w:lvl w:ilvl="0">
      <w:start w:val="1"/>
      <w:numFmt w:val="upperLetter"/>
      <w:lvlText w:val="%1"/>
      <w:lvlJc w:val="left"/>
      <w:pPr>
        <w:ind w:left="567" w:hanging="567"/>
      </w:pPr>
      <w:rPr>
        <w:rFonts w:hint="default"/>
      </w:rPr>
    </w:lvl>
    <w:lvl w:ilvl="1">
      <w:start w:val="1"/>
      <w:numFmt w:val="decimal"/>
      <w:lvlText w:val="%1.%2"/>
      <w:lvlJc w:val="left"/>
      <w:pPr>
        <w:ind w:left="680" w:hanging="680"/>
      </w:pPr>
      <w:rPr>
        <w:rFonts w:hint="default"/>
      </w:rPr>
    </w:lvl>
    <w:lvl w:ilvl="2">
      <w:start w:val="1"/>
      <w:numFmt w:val="decimal"/>
      <w:lvlText w:val="%1.%2.%3"/>
      <w:lvlJc w:val="left"/>
      <w:pPr>
        <w:ind w:left="794" w:hanging="794"/>
      </w:pPr>
      <w:rPr>
        <w:rFonts w:hint="default"/>
      </w:rPr>
    </w:lvl>
    <w:lvl w:ilvl="3">
      <w:start w:val="1"/>
      <w:numFmt w:val="decimal"/>
      <w:lvlText w:val="%1.%2.%3.%4"/>
      <w:lvlJc w:val="left"/>
      <w:pPr>
        <w:ind w:left="907" w:hanging="907"/>
      </w:pPr>
      <w:rPr>
        <w:rFonts w:hint="default"/>
      </w:rPr>
    </w:lvl>
    <w:lvl w:ilvl="4">
      <w:start w:val="1"/>
      <w:numFmt w:val="decimal"/>
      <w:lvlText w:val="%1.%2.%3.%4.%5"/>
      <w:lvlJc w:val="left"/>
      <w:pPr>
        <w:ind w:left="1021" w:hanging="1021"/>
      </w:pPr>
      <w:rPr>
        <w:rFonts w:hint="default"/>
      </w:rPr>
    </w:lvl>
    <w:lvl w:ilvl="5">
      <w:start w:val="1"/>
      <w:numFmt w:val="decimal"/>
      <w:lvlText w:val="%1.%2.%3.%4.%5.%6"/>
      <w:lvlJc w:val="left"/>
      <w:pPr>
        <w:ind w:left="1134" w:hanging="1134"/>
      </w:pPr>
      <w:rPr>
        <w:rFonts w:hint="default"/>
      </w:rPr>
    </w:lvl>
    <w:lvl w:ilvl="6">
      <w:start w:val="1"/>
      <w:numFmt w:val="decimal"/>
      <w:lvlText w:val="%1.%2.%3.%4.%5.%6.%7"/>
      <w:lvlJc w:val="left"/>
      <w:pPr>
        <w:ind w:left="1247" w:hanging="1247"/>
      </w:pPr>
      <w:rPr>
        <w:rFonts w:hint="default"/>
      </w:rPr>
    </w:lvl>
    <w:lvl w:ilvl="7">
      <w:start w:val="1"/>
      <w:numFmt w:val="decimal"/>
      <w:lvlText w:val="%1.%2.%3.%4.%5.%6.%7.%8"/>
      <w:lvlJc w:val="left"/>
      <w:pPr>
        <w:ind w:left="1361" w:hanging="1361"/>
      </w:pPr>
      <w:rPr>
        <w:rFonts w:hint="default"/>
      </w:rPr>
    </w:lvl>
    <w:lvl w:ilvl="8">
      <w:start w:val="1"/>
      <w:numFmt w:val="decimal"/>
      <w:lvlText w:val="%1.%2.%3.%4.%5.%6.%7.%8.%9"/>
      <w:lvlJc w:val="left"/>
      <w:pPr>
        <w:ind w:left="1474" w:hanging="1474"/>
      </w:pPr>
      <w:rPr>
        <w:rFonts w:hint="default"/>
      </w:rPr>
    </w:lvl>
  </w:abstractNum>
  <w:abstractNum w:abstractNumId="36" w15:restartNumberingAfterBreak="0">
    <w:nsid w:val="7B303BC2"/>
    <w:multiLevelType w:val="multilevel"/>
    <w:tmpl w:val="04130027"/>
    <w:name w:val="Appendices"/>
    <w:lvl w:ilvl="0">
      <w:start w:val="1"/>
      <w:numFmt w:val="upperRom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37" w15:restartNumberingAfterBreak="0">
    <w:nsid w:val="7BDD1E31"/>
    <w:multiLevelType w:val="multilevel"/>
    <w:tmpl w:val="0DACD4CC"/>
    <w:name w:val="PwCListBullets34"/>
    <w:lvl w:ilvl="0">
      <w:start w:val="1"/>
      <w:numFmt w:val="bullet"/>
      <w:pStyle w:val="NoteBullet"/>
      <w:lvlText w:val=""/>
      <w:lvlJc w:val="left"/>
      <w:pPr>
        <w:ind w:left="567" w:hanging="465"/>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3"/>
  </w:num>
  <w:num w:numId="2">
    <w:abstractNumId w:val="4"/>
  </w:num>
  <w:num w:numId="3">
    <w:abstractNumId w:val="30"/>
  </w:num>
  <w:num w:numId="4">
    <w:abstractNumId w:val="6"/>
  </w:num>
  <w:num w:numId="5">
    <w:abstractNumId w:val="32"/>
  </w:num>
  <w:num w:numId="6">
    <w:abstractNumId w:val="23"/>
  </w:num>
  <w:num w:numId="7">
    <w:abstractNumId w:val="37"/>
  </w:num>
  <w:num w:numId="8">
    <w:abstractNumId w:val="9"/>
  </w:num>
  <w:num w:numId="9">
    <w:abstractNumId w:val="31"/>
  </w:num>
  <w:num w:numId="10">
    <w:abstractNumId w:val="27"/>
  </w:num>
  <w:num w:numId="11">
    <w:abstractNumId w:val="1"/>
  </w:num>
  <w:num w:numId="12">
    <w:abstractNumId w:val="34"/>
  </w:num>
  <w:num w:numId="13">
    <w:abstractNumId w:val="11"/>
  </w:num>
  <w:num w:numId="14">
    <w:abstractNumId w:val="5"/>
  </w:num>
  <w:num w:numId="15">
    <w:abstractNumId w:val="2"/>
  </w:num>
  <w:num w:numId="16">
    <w:abstractNumId w:val="0"/>
  </w:num>
  <w:num w:numId="17">
    <w:abstractNumId w:val="16"/>
  </w:num>
  <w:num w:numId="18">
    <w:abstractNumId w:val="19"/>
  </w:num>
  <w:num w:numId="19">
    <w:abstractNumId w:val="29"/>
  </w:num>
  <w:num w:numId="20">
    <w:abstractNumId w:val="25"/>
  </w:num>
  <w:num w:numId="21">
    <w:abstractNumId w:val="7"/>
  </w:num>
  <w:num w:numId="22">
    <w:abstractNumId w:val="10"/>
  </w:num>
  <w:num w:numId="23">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8A8"/>
    <w:rsid w:val="00002A44"/>
    <w:rsid w:val="000036EB"/>
    <w:rsid w:val="00004D10"/>
    <w:rsid w:val="00010058"/>
    <w:rsid w:val="00013B58"/>
    <w:rsid w:val="00026D4B"/>
    <w:rsid w:val="00031770"/>
    <w:rsid w:val="00032D86"/>
    <w:rsid w:val="000343E2"/>
    <w:rsid w:val="00036AF8"/>
    <w:rsid w:val="00040A3B"/>
    <w:rsid w:val="000646D2"/>
    <w:rsid w:val="00072177"/>
    <w:rsid w:val="000734EF"/>
    <w:rsid w:val="00073746"/>
    <w:rsid w:val="00074A78"/>
    <w:rsid w:val="00075BA4"/>
    <w:rsid w:val="00076625"/>
    <w:rsid w:val="00080644"/>
    <w:rsid w:val="00081B19"/>
    <w:rsid w:val="000825A3"/>
    <w:rsid w:val="000846C0"/>
    <w:rsid w:val="000859B7"/>
    <w:rsid w:val="00093462"/>
    <w:rsid w:val="00097402"/>
    <w:rsid w:val="000A09A2"/>
    <w:rsid w:val="000A0FA9"/>
    <w:rsid w:val="000B3C73"/>
    <w:rsid w:val="000B7017"/>
    <w:rsid w:val="000C219E"/>
    <w:rsid w:val="000C2BC3"/>
    <w:rsid w:val="000C3A2C"/>
    <w:rsid w:val="000C654F"/>
    <w:rsid w:val="000D4337"/>
    <w:rsid w:val="000D4C62"/>
    <w:rsid w:val="000D7DAE"/>
    <w:rsid w:val="000E39CD"/>
    <w:rsid w:val="000F2057"/>
    <w:rsid w:val="000F2558"/>
    <w:rsid w:val="000F6FB3"/>
    <w:rsid w:val="00105D33"/>
    <w:rsid w:val="001114AF"/>
    <w:rsid w:val="001200AA"/>
    <w:rsid w:val="001325A2"/>
    <w:rsid w:val="00134676"/>
    <w:rsid w:val="00135E9B"/>
    <w:rsid w:val="00136C49"/>
    <w:rsid w:val="00145DEF"/>
    <w:rsid w:val="001567E1"/>
    <w:rsid w:val="00170C07"/>
    <w:rsid w:val="00170E7A"/>
    <w:rsid w:val="00170EFA"/>
    <w:rsid w:val="001739F2"/>
    <w:rsid w:val="001754C9"/>
    <w:rsid w:val="001776FA"/>
    <w:rsid w:val="00185EEA"/>
    <w:rsid w:val="001A0935"/>
    <w:rsid w:val="001A1656"/>
    <w:rsid w:val="001A3B39"/>
    <w:rsid w:val="001C1562"/>
    <w:rsid w:val="001C57AC"/>
    <w:rsid w:val="001C63F6"/>
    <w:rsid w:val="001C6630"/>
    <w:rsid w:val="001F0911"/>
    <w:rsid w:val="001F2C04"/>
    <w:rsid w:val="001F523F"/>
    <w:rsid w:val="0020083A"/>
    <w:rsid w:val="00203C13"/>
    <w:rsid w:val="00203ED4"/>
    <w:rsid w:val="0020494F"/>
    <w:rsid w:val="00207806"/>
    <w:rsid w:val="00216A4B"/>
    <w:rsid w:val="0022459A"/>
    <w:rsid w:val="00233C77"/>
    <w:rsid w:val="0024418B"/>
    <w:rsid w:val="00251011"/>
    <w:rsid w:val="00251714"/>
    <w:rsid w:val="00254951"/>
    <w:rsid w:val="002639B6"/>
    <w:rsid w:val="0026455C"/>
    <w:rsid w:val="002649B9"/>
    <w:rsid w:val="00270293"/>
    <w:rsid w:val="00272D84"/>
    <w:rsid w:val="00274340"/>
    <w:rsid w:val="002832C4"/>
    <w:rsid w:val="00283B75"/>
    <w:rsid w:val="00285090"/>
    <w:rsid w:val="00290D91"/>
    <w:rsid w:val="0029269A"/>
    <w:rsid w:val="002A12F4"/>
    <w:rsid w:val="002A635A"/>
    <w:rsid w:val="002A7437"/>
    <w:rsid w:val="002B5000"/>
    <w:rsid w:val="002B55E0"/>
    <w:rsid w:val="002B6DA8"/>
    <w:rsid w:val="002C0F83"/>
    <w:rsid w:val="002C1E97"/>
    <w:rsid w:val="002C3DFF"/>
    <w:rsid w:val="002C462A"/>
    <w:rsid w:val="002D0712"/>
    <w:rsid w:val="002D47F1"/>
    <w:rsid w:val="002D6105"/>
    <w:rsid w:val="002E1B61"/>
    <w:rsid w:val="002F0C1E"/>
    <w:rsid w:val="002F72B5"/>
    <w:rsid w:val="00311666"/>
    <w:rsid w:val="00313243"/>
    <w:rsid w:val="003140D3"/>
    <w:rsid w:val="0031763A"/>
    <w:rsid w:val="00317B4E"/>
    <w:rsid w:val="0032115A"/>
    <w:rsid w:val="00321ADD"/>
    <w:rsid w:val="0032290D"/>
    <w:rsid w:val="00323DB9"/>
    <w:rsid w:val="00324288"/>
    <w:rsid w:val="00330FAC"/>
    <w:rsid w:val="00335188"/>
    <w:rsid w:val="003455EF"/>
    <w:rsid w:val="00345BDC"/>
    <w:rsid w:val="0034637D"/>
    <w:rsid w:val="003574E0"/>
    <w:rsid w:val="00364B6C"/>
    <w:rsid w:val="00370703"/>
    <w:rsid w:val="003753FE"/>
    <w:rsid w:val="00377219"/>
    <w:rsid w:val="00381987"/>
    <w:rsid w:val="00381FAA"/>
    <w:rsid w:val="003825C8"/>
    <w:rsid w:val="003865E0"/>
    <w:rsid w:val="00394E9C"/>
    <w:rsid w:val="00395FCB"/>
    <w:rsid w:val="003A0852"/>
    <w:rsid w:val="003A12BB"/>
    <w:rsid w:val="003A60BA"/>
    <w:rsid w:val="003A6E70"/>
    <w:rsid w:val="003A706F"/>
    <w:rsid w:val="003B1750"/>
    <w:rsid w:val="003B26A2"/>
    <w:rsid w:val="003C0277"/>
    <w:rsid w:val="003C3A14"/>
    <w:rsid w:val="003C488E"/>
    <w:rsid w:val="003C6BA4"/>
    <w:rsid w:val="003C7432"/>
    <w:rsid w:val="003D04D8"/>
    <w:rsid w:val="003E0193"/>
    <w:rsid w:val="003E1751"/>
    <w:rsid w:val="003F6ED0"/>
    <w:rsid w:val="003F79B5"/>
    <w:rsid w:val="003F7F20"/>
    <w:rsid w:val="004047BB"/>
    <w:rsid w:val="0041053A"/>
    <w:rsid w:val="00413DF3"/>
    <w:rsid w:val="00414681"/>
    <w:rsid w:val="00421B0A"/>
    <w:rsid w:val="004240E3"/>
    <w:rsid w:val="00424609"/>
    <w:rsid w:val="00424D1F"/>
    <w:rsid w:val="004330FF"/>
    <w:rsid w:val="00436A45"/>
    <w:rsid w:val="0044607B"/>
    <w:rsid w:val="00452688"/>
    <w:rsid w:val="0045324C"/>
    <w:rsid w:val="00470945"/>
    <w:rsid w:val="0047275F"/>
    <w:rsid w:val="004729FC"/>
    <w:rsid w:val="004754CE"/>
    <w:rsid w:val="004771F6"/>
    <w:rsid w:val="004802D2"/>
    <w:rsid w:val="00480FE1"/>
    <w:rsid w:val="00481104"/>
    <w:rsid w:val="00483734"/>
    <w:rsid w:val="00483C16"/>
    <w:rsid w:val="004861EA"/>
    <w:rsid w:val="00491867"/>
    <w:rsid w:val="00491983"/>
    <w:rsid w:val="004949B3"/>
    <w:rsid w:val="00495821"/>
    <w:rsid w:val="0049623B"/>
    <w:rsid w:val="004A7690"/>
    <w:rsid w:val="004B5795"/>
    <w:rsid w:val="004B611E"/>
    <w:rsid w:val="004C29EF"/>
    <w:rsid w:val="004C34C6"/>
    <w:rsid w:val="004C6F71"/>
    <w:rsid w:val="004D17CD"/>
    <w:rsid w:val="004D6ADE"/>
    <w:rsid w:val="004E4976"/>
    <w:rsid w:val="004E7B9D"/>
    <w:rsid w:val="004F2142"/>
    <w:rsid w:val="004F368E"/>
    <w:rsid w:val="004F404E"/>
    <w:rsid w:val="004F41E8"/>
    <w:rsid w:val="004F427E"/>
    <w:rsid w:val="004F642C"/>
    <w:rsid w:val="00507558"/>
    <w:rsid w:val="005103B9"/>
    <w:rsid w:val="005221BC"/>
    <w:rsid w:val="005243A6"/>
    <w:rsid w:val="00527FD5"/>
    <w:rsid w:val="00535410"/>
    <w:rsid w:val="0053675B"/>
    <w:rsid w:val="0054330C"/>
    <w:rsid w:val="00544083"/>
    <w:rsid w:val="0054653F"/>
    <w:rsid w:val="00546F5A"/>
    <w:rsid w:val="005473E9"/>
    <w:rsid w:val="0055669B"/>
    <w:rsid w:val="00566657"/>
    <w:rsid w:val="00575E14"/>
    <w:rsid w:val="005855D7"/>
    <w:rsid w:val="00592336"/>
    <w:rsid w:val="00596770"/>
    <w:rsid w:val="005A12F3"/>
    <w:rsid w:val="005A30B3"/>
    <w:rsid w:val="005B0803"/>
    <w:rsid w:val="005B2B04"/>
    <w:rsid w:val="005C4AC3"/>
    <w:rsid w:val="005D1275"/>
    <w:rsid w:val="005D6919"/>
    <w:rsid w:val="005D7F75"/>
    <w:rsid w:val="005E43F5"/>
    <w:rsid w:val="005E5FC0"/>
    <w:rsid w:val="005E6CF6"/>
    <w:rsid w:val="005F15E2"/>
    <w:rsid w:val="005F7293"/>
    <w:rsid w:val="00601A0A"/>
    <w:rsid w:val="00604825"/>
    <w:rsid w:val="00607A0A"/>
    <w:rsid w:val="00616F1A"/>
    <w:rsid w:val="00620643"/>
    <w:rsid w:val="006209BB"/>
    <w:rsid w:val="00625773"/>
    <w:rsid w:val="006277A2"/>
    <w:rsid w:val="006301D0"/>
    <w:rsid w:val="00633C15"/>
    <w:rsid w:val="00637DC9"/>
    <w:rsid w:val="00641C70"/>
    <w:rsid w:val="006432E9"/>
    <w:rsid w:val="00652727"/>
    <w:rsid w:val="006533BC"/>
    <w:rsid w:val="0065623A"/>
    <w:rsid w:val="006567E4"/>
    <w:rsid w:val="00663E5B"/>
    <w:rsid w:val="0067067A"/>
    <w:rsid w:val="00671115"/>
    <w:rsid w:val="00671799"/>
    <w:rsid w:val="006720E3"/>
    <w:rsid w:val="00675358"/>
    <w:rsid w:val="00675968"/>
    <w:rsid w:val="00676394"/>
    <w:rsid w:val="00683649"/>
    <w:rsid w:val="00683D3E"/>
    <w:rsid w:val="006844CE"/>
    <w:rsid w:val="00685085"/>
    <w:rsid w:val="00685985"/>
    <w:rsid w:val="006879B8"/>
    <w:rsid w:val="00690F80"/>
    <w:rsid w:val="00691FA8"/>
    <w:rsid w:val="006941B9"/>
    <w:rsid w:val="00695C26"/>
    <w:rsid w:val="006A5619"/>
    <w:rsid w:val="006A7C2D"/>
    <w:rsid w:val="006C10C2"/>
    <w:rsid w:val="006C178E"/>
    <w:rsid w:val="006C4E75"/>
    <w:rsid w:val="006D25AE"/>
    <w:rsid w:val="006D4AA2"/>
    <w:rsid w:val="006E5264"/>
    <w:rsid w:val="006E792B"/>
    <w:rsid w:val="006F0F2E"/>
    <w:rsid w:val="006F1328"/>
    <w:rsid w:val="006F18E5"/>
    <w:rsid w:val="006F2A21"/>
    <w:rsid w:val="006F4E9E"/>
    <w:rsid w:val="006F71D7"/>
    <w:rsid w:val="00702D6F"/>
    <w:rsid w:val="00705C3B"/>
    <w:rsid w:val="00706661"/>
    <w:rsid w:val="007068DD"/>
    <w:rsid w:val="00710ED5"/>
    <w:rsid w:val="00711F3F"/>
    <w:rsid w:val="007140A7"/>
    <w:rsid w:val="00721010"/>
    <w:rsid w:val="0072635F"/>
    <w:rsid w:val="00727A43"/>
    <w:rsid w:val="00736F2C"/>
    <w:rsid w:val="00737C68"/>
    <w:rsid w:val="00737EE3"/>
    <w:rsid w:val="007401BB"/>
    <w:rsid w:val="00747D8C"/>
    <w:rsid w:val="007525FF"/>
    <w:rsid w:val="00756FEA"/>
    <w:rsid w:val="0075752F"/>
    <w:rsid w:val="007627B1"/>
    <w:rsid w:val="007674AA"/>
    <w:rsid w:val="007746EB"/>
    <w:rsid w:val="00776D48"/>
    <w:rsid w:val="0078274F"/>
    <w:rsid w:val="00785179"/>
    <w:rsid w:val="00792B16"/>
    <w:rsid w:val="00792C88"/>
    <w:rsid w:val="00793F5C"/>
    <w:rsid w:val="007A7B95"/>
    <w:rsid w:val="007A7FB7"/>
    <w:rsid w:val="007B1083"/>
    <w:rsid w:val="007B596F"/>
    <w:rsid w:val="007B6405"/>
    <w:rsid w:val="007C07F0"/>
    <w:rsid w:val="007C10CA"/>
    <w:rsid w:val="007C3958"/>
    <w:rsid w:val="007C54FF"/>
    <w:rsid w:val="007C7DFF"/>
    <w:rsid w:val="007D3098"/>
    <w:rsid w:val="007D3575"/>
    <w:rsid w:val="007D79AC"/>
    <w:rsid w:val="007D79D5"/>
    <w:rsid w:val="007E18F6"/>
    <w:rsid w:val="007E40C6"/>
    <w:rsid w:val="007E7875"/>
    <w:rsid w:val="00800FE7"/>
    <w:rsid w:val="00803569"/>
    <w:rsid w:val="008044B6"/>
    <w:rsid w:val="00817204"/>
    <w:rsid w:val="0082381C"/>
    <w:rsid w:val="008239CC"/>
    <w:rsid w:val="0082744B"/>
    <w:rsid w:val="0084399A"/>
    <w:rsid w:val="008465CB"/>
    <w:rsid w:val="00847128"/>
    <w:rsid w:val="00847770"/>
    <w:rsid w:val="00854567"/>
    <w:rsid w:val="00855B85"/>
    <w:rsid w:val="00861B4C"/>
    <w:rsid w:val="0086669F"/>
    <w:rsid w:val="00871737"/>
    <w:rsid w:val="00874E53"/>
    <w:rsid w:val="00890F9F"/>
    <w:rsid w:val="00891C8C"/>
    <w:rsid w:val="0089674A"/>
    <w:rsid w:val="00897E19"/>
    <w:rsid w:val="008A0F5A"/>
    <w:rsid w:val="008A6B37"/>
    <w:rsid w:val="008B0524"/>
    <w:rsid w:val="008B08A8"/>
    <w:rsid w:val="008B17DF"/>
    <w:rsid w:val="008B2D80"/>
    <w:rsid w:val="008C042B"/>
    <w:rsid w:val="008C2B61"/>
    <w:rsid w:val="008C3CBD"/>
    <w:rsid w:val="008C63CD"/>
    <w:rsid w:val="008D10F6"/>
    <w:rsid w:val="008D5347"/>
    <w:rsid w:val="008D7F56"/>
    <w:rsid w:val="008E481F"/>
    <w:rsid w:val="008E742E"/>
    <w:rsid w:val="008E787F"/>
    <w:rsid w:val="008F07D8"/>
    <w:rsid w:val="008F4E70"/>
    <w:rsid w:val="00900284"/>
    <w:rsid w:val="00905F71"/>
    <w:rsid w:val="009079E9"/>
    <w:rsid w:val="00907DB8"/>
    <w:rsid w:val="0091219D"/>
    <w:rsid w:val="00913A8D"/>
    <w:rsid w:val="009278F8"/>
    <w:rsid w:val="00931EF6"/>
    <w:rsid w:val="00935EC6"/>
    <w:rsid w:val="00940C1E"/>
    <w:rsid w:val="0094559F"/>
    <w:rsid w:val="00945D07"/>
    <w:rsid w:val="00945F3C"/>
    <w:rsid w:val="0094633D"/>
    <w:rsid w:val="00952845"/>
    <w:rsid w:val="00952B87"/>
    <w:rsid w:val="00953EDF"/>
    <w:rsid w:val="00954316"/>
    <w:rsid w:val="00955343"/>
    <w:rsid w:val="00956EBA"/>
    <w:rsid w:val="00957047"/>
    <w:rsid w:val="0098227E"/>
    <w:rsid w:val="0098240B"/>
    <w:rsid w:val="009B21FB"/>
    <w:rsid w:val="009B3699"/>
    <w:rsid w:val="009B77FB"/>
    <w:rsid w:val="009C250D"/>
    <w:rsid w:val="009D0490"/>
    <w:rsid w:val="009D10AD"/>
    <w:rsid w:val="009D38B1"/>
    <w:rsid w:val="009D529A"/>
    <w:rsid w:val="009D57C3"/>
    <w:rsid w:val="009E790F"/>
    <w:rsid w:val="009F3B53"/>
    <w:rsid w:val="009F5368"/>
    <w:rsid w:val="009F77D7"/>
    <w:rsid w:val="00A03F03"/>
    <w:rsid w:val="00A109EF"/>
    <w:rsid w:val="00A1446A"/>
    <w:rsid w:val="00A14E40"/>
    <w:rsid w:val="00A2000E"/>
    <w:rsid w:val="00A218F4"/>
    <w:rsid w:val="00A24FAF"/>
    <w:rsid w:val="00A26430"/>
    <w:rsid w:val="00A34DBA"/>
    <w:rsid w:val="00A376BB"/>
    <w:rsid w:val="00A41187"/>
    <w:rsid w:val="00A54611"/>
    <w:rsid w:val="00A57B66"/>
    <w:rsid w:val="00A618B7"/>
    <w:rsid w:val="00A63E72"/>
    <w:rsid w:val="00A807A7"/>
    <w:rsid w:val="00A87346"/>
    <w:rsid w:val="00A92414"/>
    <w:rsid w:val="00A94FCD"/>
    <w:rsid w:val="00AA26F0"/>
    <w:rsid w:val="00AA2A67"/>
    <w:rsid w:val="00AA4A1A"/>
    <w:rsid w:val="00AB1C48"/>
    <w:rsid w:val="00AB4AB3"/>
    <w:rsid w:val="00AC063F"/>
    <w:rsid w:val="00AC32EB"/>
    <w:rsid w:val="00AC69C0"/>
    <w:rsid w:val="00AC7441"/>
    <w:rsid w:val="00AD3A1C"/>
    <w:rsid w:val="00AD6FF5"/>
    <w:rsid w:val="00AE2920"/>
    <w:rsid w:val="00AE491F"/>
    <w:rsid w:val="00AE537A"/>
    <w:rsid w:val="00AF3800"/>
    <w:rsid w:val="00AF679D"/>
    <w:rsid w:val="00AF6CCD"/>
    <w:rsid w:val="00B0327E"/>
    <w:rsid w:val="00B05452"/>
    <w:rsid w:val="00B06065"/>
    <w:rsid w:val="00B11C3D"/>
    <w:rsid w:val="00B16CC7"/>
    <w:rsid w:val="00B264DC"/>
    <w:rsid w:val="00B308E8"/>
    <w:rsid w:val="00B342C3"/>
    <w:rsid w:val="00B35A88"/>
    <w:rsid w:val="00B42507"/>
    <w:rsid w:val="00B47E76"/>
    <w:rsid w:val="00B61C00"/>
    <w:rsid w:val="00B623F1"/>
    <w:rsid w:val="00B635D7"/>
    <w:rsid w:val="00B65FB2"/>
    <w:rsid w:val="00B72001"/>
    <w:rsid w:val="00B74488"/>
    <w:rsid w:val="00B758C1"/>
    <w:rsid w:val="00B93AA2"/>
    <w:rsid w:val="00BA1BAF"/>
    <w:rsid w:val="00BA1E20"/>
    <w:rsid w:val="00BA38A3"/>
    <w:rsid w:val="00BB1E5B"/>
    <w:rsid w:val="00BB789B"/>
    <w:rsid w:val="00BC160E"/>
    <w:rsid w:val="00BD353B"/>
    <w:rsid w:val="00BD3A9F"/>
    <w:rsid w:val="00BD3B14"/>
    <w:rsid w:val="00BD7E36"/>
    <w:rsid w:val="00BE6120"/>
    <w:rsid w:val="00C025F4"/>
    <w:rsid w:val="00C03CB1"/>
    <w:rsid w:val="00C03F68"/>
    <w:rsid w:val="00C03F8B"/>
    <w:rsid w:val="00C05950"/>
    <w:rsid w:val="00C06C47"/>
    <w:rsid w:val="00C10E4B"/>
    <w:rsid w:val="00C130C4"/>
    <w:rsid w:val="00C1387D"/>
    <w:rsid w:val="00C15E49"/>
    <w:rsid w:val="00C208EE"/>
    <w:rsid w:val="00C22DCE"/>
    <w:rsid w:val="00C23F09"/>
    <w:rsid w:val="00C36F42"/>
    <w:rsid w:val="00C40E2B"/>
    <w:rsid w:val="00C4213C"/>
    <w:rsid w:val="00C45A1C"/>
    <w:rsid w:val="00C52374"/>
    <w:rsid w:val="00C5498C"/>
    <w:rsid w:val="00C57EBA"/>
    <w:rsid w:val="00C602E1"/>
    <w:rsid w:val="00C643EB"/>
    <w:rsid w:val="00C82AC8"/>
    <w:rsid w:val="00C83D28"/>
    <w:rsid w:val="00C87001"/>
    <w:rsid w:val="00C91FAF"/>
    <w:rsid w:val="00C943E4"/>
    <w:rsid w:val="00C947FC"/>
    <w:rsid w:val="00CA1943"/>
    <w:rsid w:val="00CA7E4D"/>
    <w:rsid w:val="00CB588E"/>
    <w:rsid w:val="00CC13B3"/>
    <w:rsid w:val="00CD1CB8"/>
    <w:rsid w:val="00CD5CE3"/>
    <w:rsid w:val="00CD66A7"/>
    <w:rsid w:val="00CD789D"/>
    <w:rsid w:val="00CE531F"/>
    <w:rsid w:val="00CE55E9"/>
    <w:rsid w:val="00CE7D7C"/>
    <w:rsid w:val="00D02BF9"/>
    <w:rsid w:val="00D04169"/>
    <w:rsid w:val="00D12724"/>
    <w:rsid w:val="00D15CF6"/>
    <w:rsid w:val="00D21D8D"/>
    <w:rsid w:val="00D225BB"/>
    <w:rsid w:val="00D251A2"/>
    <w:rsid w:val="00D35A6F"/>
    <w:rsid w:val="00D36955"/>
    <w:rsid w:val="00D370C5"/>
    <w:rsid w:val="00D428E7"/>
    <w:rsid w:val="00D43221"/>
    <w:rsid w:val="00D4353E"/>
    <w:rsid w:val="00D454ED"/>
    <w:rsid w:val="00D572C0"/>
    <w:rsid w:val="00D57BC1"/>
    <w:rsid w:val="00D706CD"/>
    <w:rsid w:val="00D842B9"/>
    <w:rsid w:val="00D90DDC"/>
    <w:rsid w:val="00D94791"/>
    <w:rsid w:val="00D95107"/>
    <w:rsid w:val="00D95C41"/>
    <w:rsid w:val="00D95EA1"/>
    <w:rsid w:val="00DB04FE"/>
    <w:rsid w:val="00DB28AE"/>
    <w:rsid w:val="00DC44EB"/>
    <w:rsid w:val="00DD303C"/>
    <w:rsid w:val="00DD60AE"/>
    <w:rsid w:val="00DF03FA"/>
    <w:rsid w:val="00DF2FFE"/>
    <w:rsid w:val="00DF6453"/>
    <w:rsid w:val="00DF7501"/>
    <w:rsid w:val="00DF769D"/>
    <w:rsid w:val="00E03646"/>
    <w:rsid w:val="00E1175D"/>
    <w:rsid w:val="00E14399"/>
    <w:rsid w:val="00E144F4"/>
    <w:rsid w:val="00E15C36"/>
    <w:rsid w:val="00E1736E"/>
    <w:rsid w:val="00E251DF"/>
    <w:rsid w:val="00E32003"/>
    <w:rsid w:val="00E328D8"/>
    <w:rsid w:val="00E3382B"/>
    <w:rsid w:val="00E40676"/>
    <w:rsid w:val="00E42989"/>
    <w:rsid w:val="00E44D87"/>
    <w:rsid w:val="00E476EA"/>
    <w:rsid w:val="00E50560"/>
    <w:rsid w:val="00E64CA1"/>
    <w:rsid w:val="00E83546"/>
    <w:rsid w:val="00E85664"/>
    <w:rsid w:val="00EA0CAE"/>
    <w:rsid w:val="00EA2323"/>
    <w:rsid w:val="00EB1392"/>
    <w:rsid w:val="00EC064C"/>
    <w:rsid w:val="00EC4AF2"/>
    <w:rsid w:val="00ED5D5A"/>
    <w:rsid w:val="00ED73E5"/>
    <w:rsid w:val="00EE0C5B"/>
    <w:rsid w:val="00EE29CE"/>
    <w:rsid w:val="00EE3806"/>
    <w:rsid w:val="00EE4026"/>
    <w:rsid w:val="00EF3A0D"/>
    <w:rsid w:val="00EF41B2"/>
    <w:rsid w:val="00EF4C8D"/>
    <w:rsid w:val="00EF6BEC"/>
    <w:rsid w:val="00F01F65"/>
    <w:rsid w:val="00F05F46"/>
    <w:rsid w:val="00F071F1"/>
    <w:rsid w:val="00F07444"/>
    <w:rsid w:val="00F100D9"/>
    <w:rsid w:val="00F1034F"/>
    <w:rsid w:val="00F11EAB"/>
    <w:rsid w:val="00F1504D"/>
    <w:rsid w:val="00F20D49"/>
    <w:rsid w:val="00F212EE"/>
    <w:rsid w:val="00F21A59"/>
    <w:rsid w:val="00F22AAE"/>
    <w:rsid w:val="00F24941"/>
    <w:rsid w:val="00F26FF2"/>
    <w:rsid w:val="00F42AF3"/>
    <w:rsid w:val="00F5209A"/>
    <w:rsid w:val="00F52A69"/>
    <w:rsid w:val="00F60149"/>
    <w:rsid w:val="00F606C2"/>
    <w:rsid w:val="00F60CA2"/>
    <w:rsid w:val="00F61417"/>
    <w:rsid w:val="00F67510"/>
    <w:rsid w:val="00F702B2"/>
    <w:rsid w:val="00F80F23"/>
    <w:rsid w:val="00F839A9"/>
    <w:rsid w:val="00F94F12"/>
    <w:rsid w:val="00FA229E"/>
    <w:rsid w:val="00FA2E85"/>
    <w:rsid w:val="00FB5755"/>
    <w:rsid w:val="00FB63CC"/>
    <w:rsid w:val="00FC21B6"/>
    <w:rsid w:val="00FC3646"/>
    <w:rsid w:val="00FC4B4D"/>
    <w:rsid w:val="00FD5C5C"/>
    <w:rsid w:val="00FE3FB6"/>
    <w:rsid w:val="00FF49BF"/>
    <w:rsid w:val="00FF745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143B10"/>
  <w15:docId w15:val="{7FA98B3A-1E85-4320-B0EC-64CCA0500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heme="minorHAnsi" w:hAnsi="Georgia" w:cstheme="minorBidi"/>
        <w:lang w:val="en-GB" w:eastAsia="en-US" w:bidi="ar-SA"/>
      </w:rPr>
    </w:rPrDefault>
    <w:pPrDefault>
      <w:pPr>
        <w:spacing w:after="240" w:line="240" w:lineRule="atLeast"/>
      </w:pPr>
    </w:pPrDefault>
  </w:docDefaults>
  <w:latentStyles w:defLockedState="0" w:defUIPriority="99" w:defSemiHidden="0" w:defUnhideWhenUsed="0" w:defQFormat="0" w:count="376">
    <w:lsdException w:name="Normal" w:uiPriority="34"/>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qFormat="1"/>
    <w:lsdException w:name="List" w:semiHidden="1" w:uiPriority="14" w:unhideWhenUsed="1"/>
    <w:lsdException w:name="List Bullet" w:semiHidden="1" w:uiPriority="13" w:unhideWhenUsed="1" w:qFormat="1"/>
    <w:lsdException w:name="List Number" w:semiHidden="1" w:unhideWhenUsed="1" w:qFormat="1"/>
    <w:lsdException w:name="List 2" w:semiHidden="1" w:uiPriority="14" w:unhideWhenUsed="1"/>
    <w:lsdException w:name="List 3" w:semiHidden="1" w:uiPriority="14" w:unhideWhenUsed="1"/>
    <w:lsdException w:name="List 4" w:semiHidden="1" w:uiPriority="14" w:unhideWhenUsed="1"/>
    <w:lsdException w:name="List 5" w:semiHidden="1" w:uiPriority="14" w:unhideWhenUsed="1"/>
    <w:lsdException w:name="List Bullet 2" w:semiHidden="1" w:uiPriority="13" w:unhideWhenUsed="1"/>
    <w:lsdException w:name="List Bullet 3" w:semiHidden="1" w:uiPriority="13" w:unhideWhenUsed="1"/>
    <w:lsdException w:name="List Bullet 4" w:semiHidden="1" w:uiPriority="13" w:unhideWhenUsed="1"/>
    <w:lsdException w:name="List Bullet 5" w:semiHidden="1" w:uiPriority="13" w:unhideWhenUsed="1"/>
    <w:lsdException w:name="List Number 2" w:uiPriority="14"/>
    <w:lsdException w:name="List Number 3" w:uiPriority="14"/>
    <w:lsdException w:name="List Number 4" w:semiHidden="1" w:uiPriority="14" w:unhideWhenUsed="1"/>
    <w:lsdException w:name="List Number 5" w:semiHidden="1" w:uiPriority="14"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4" w:unhideWhenUsed="1" w:qFormat="1"/>
    <w:lsdException w:name="List Continue 2" w:semiHidden="1" w:uiPriority="14" w:unhideWhenUsed="1"/>
    <w:lsdException w:name="List Continue 3" w:semiHidden="1" w:uiPriority="14" w:unhideWhenUsed="1"/>
    <w:lsdException w:name="List Continue 4" w:semiHidden="1" w:uiPriority="14" w:unhideWhenUsed="1"/>
    <w:lsdException w:name="List Continue 5" w:semiHidden="1" w:uiPriority="14" w:unhideWhenUsed="1"/>
    <w:lsdException w:name="Message Header" w:semiHidden="1" w:unhideWhenUsed="1"/>
    <w:lsdException w:name="Subtitle" w:uiPriority="11"/>
    <w:lsdException w:name="Salutation" w:uiPriority="34"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34"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uiPriority w:val="34"/>
    <w:rsid w:val="00BB789B"/>
  </w:style>
  <w:style w:type="paragraph" w:styleId="Heading1">
    <w:name w:val="heading 1"/>
    <w:basedOn w:val="BodyText"/>
    <w:next w:val="BodyText"/>
    <w:link w:val="Heading1Char"/>
    <w:uiPriority w:val="9"/>
    <w:qFormat/>
    <w:rsid w:val="00BB789B"/>
    <w:pPr>
      <w:keepNext/>
      <w:keepLines/>
      <w:numPr>
        <w:numId w:val="11"/>
      </w:numPr>
      <w:spacing w:after="40" w:line="240" w:lineRule="auto"/>
      <w:outlineLvl w:val="0"/>
    </w:pPr>
    <w:rPr>
      <w:rFonts w:eastAsiaTheme="majorEastAsia" w:cstheme="majorBidi"/>
      <w:b/>
      <w:bCs/>
      <w:i/>
      <w:sz w:val="32"/>
      <w:szCs w:val="28"/>
    </w:rPr>
  </w:style>
  <w:style w:type="paragraph" w:styleId="Heading2">
    <w:name w:val="heading 2"/>
    <w:basedOn w:val="BodyText"/>
    <w:next w:val="BodyText"/>
    <w:link w:val="Heading2Char"/>
    <w:uiPriority w:val="9"/>
    <w:qFormat/>
    <w:rsid w:val="00BB789B"/>
    <w:pPr>
      <w:keepNext/>
      <w:keepLines/>
      <w:numPr>
        <w:ilvl w:val="1"/>
        <w:numId w:val="11"/>
      </w:numPr>
      <w:spacing w:after="40" w:line="240" w:lineRule="auto"/>
      <w:outlineLvl w:val="1"/>
    </w:pPr>
    <w:rPr>
      <w:rFonts w:eastAsiaTheme="majorEastAsia" w:cstheme="majorBidi"/>
      <w:b/>
      <w:bCs/>
      <w:i/>
      <w:sz w:val="24"/>
      <w:szCs w:val="26"/>
    </w:rPr>
  </w:style>
  <w:style w:type="paragraph" w:styleId="Heading3">
    <w:name w:val="heading 3"/>
    <w:basedOn w:val="BodyText"/>
    <w:next w:val="BodyText"/>
    <w:link w:val="Heading3Char"/>
    <w:uiPriority w:val="9"/>
    <w:qFormat/>
    <w:rsid w:val="00BB789B"/>
    <w:pPr>
      <w:keepNext/>
      <w:keepLines/>
      <w:numPr>
        <w:ilvl w:val="2"/>
        <w:numId w:val="11"/>
      </w:numPr>
      <w:spacing w:after="40" w:line="240" w:lineRule="auto"/>
      <w:outlineLvl w:val="2"/>
    </w:pPr>
    <w:rPr>
      <w:rFonts w:eastAsiaTheme="majorEastAsia" w:cstheme="majorBidi"/>
      <w:bCs/>
      <w:i/>
      <w:sz w:val="24"/>
    </w:rPr>
  </w:style>
  <w:style w:type="paragraph" w:styleId="Heading4">
    <w:name w:val="heading 4"/>
    <w:basedOn w:val="BodyText"/>
    <w:next w:val="BodyText"/>
    <w:link w:val="Heading4Char"/>
    <w:uiPriority w:val="9"/>
    <w:unhideWhenUsed/>
    <w:qFormat/>
    <w:rsid w:val="00BB789B"/>
    <w:pPr>
      <w:keepNext/>
      <w:keepLines/>
      <w:numPr>
        <w:ilvl w:val="3"/>
        <w:numId w:val="11"/>
      </w:numPr>
      <w:spacing w:after="40" w:line="240" w:lineRule="auto"/>
      <w:outlineLvl w:val="3"/>
    </w:pPr>
    <w:rPr>
      <w:rFonts w:eastAsiaTheme="majorEastAsia" w:cstheme="majorBidi"/>
      <w:bCs/>
      <w:i/>
      <w:iCs/>
    </w:rPr>
  </w:style>
  <w:style w:type="paragraph" w:styleId="Heading5">
    <w:name w:val="heading 5"/>
    <w:basedOn w:val="BodyText"/>
    <w:next w:val="BodyText"/>
    <w:link w:val="Heading5Char"/>
    <w:uiPriority w:val="9"/>
    <w:unhideWhenUsed/>
    <w:qFormat/>
    <w:rsid w:val="00BB789B"/>
    <w:pPr>
      <w:keepNext/>
      <w:keepLines/>
      <w:numPr>
        <w:ilvl w:val="4"/>
        <w:numId w:val="11"/>
      </w:numPr>
      <w:spacing w:after="40" w:line="240" w:lineRule="auto"/>
      <w:outlineLvl w:val="4"/>
    </w:pPr>
    <w:rPr>
      <w:rFonts w:eastAsiaTheme="majorEastAsia" w:cstheme="majorBidi"/>
    </w:rPr>
  </w:style>
  <w:style w:type="paragraph" w:styleId="Heading6">
    <w:name w:val="heading 6"/>
    <w:basedOn w:val="BodyText"/>
    <w:next w:val="BodyText"/>
    <w:link w:val="Heading6Char"/>
    <w:uiPriority w:val="9"/>
    <w:unhideWhenUsed/>
    <w:rsid w:val="00BB789B"/>
    <w:pPr>
      <w:keepNext/>
      <w:keepLines/>
      <w:numPr>
        <w:ilvl w:val="5"/>
        <w:numId w:val="11"/>
      </w:numPr>
      <w:spacing w:after="40" w:line="240" w:lineRule="auto"/>
      <w:outlineLvl w:val="5"/>
    </w:pPr>
    <w:rPr>
      <w:rFonts w:eastAsiaTheme="majorEastAsia" w:cstheme="majorBidi"/>
      <w:iCs/>
    </w:rPr>
  </w:style>
  <w:style w:type="paragraph" w:styleId="Heading7">
    <w:name w:val="heading 7"/>
    <w:basedOn w:val="BodyText"/>
    <w:next w:val="BodyText"/>
    <w:link w:val="Heading7Char"/>
    <w:uiPriority w:val="9"/>
    <w:unhideWhenUsed/>
    <w:rsid w:val="00BB789B"/>
    <w:pPr>
      <w:keepNext/>
      <w:keepLines/>
      <w:numPr>
        <w:ilvl w:val="6"/>
        <w:numId w:val="11"/>
      </w:numPr>
      <w:spacing w:after="40" w:line="240" w:lineRule="auto"/>
      <w:outlineLvl w:val="6"/>
    </w:pPr>
    <w:rPr>
      <w:rFonts w:eastAsiaTheme="majorEastAsia" w:cstheme="majorBidi"/>
      <w:iCs/>
    </w:rPr>
  </w:style>
  <w:style w:type="paragraph" w:styleId="Heading8">
    <w:name w:val="heading 8"/>
    <w:basedOn w:val="BodyText"/>
    <w:next w:val="BodyText"/>
    <w:link w:val="Heading8Char"/>
    <w:uiPriority w:val="9"/>
    <w:unhideWhenUsed/>
    <w:rsid w:val="00BB789B"/>
    <w:pPr>
      <w:keepNext/>
      <w:keepLines/>
      <w:numPr>
        <w:ilvl w:val="7"/>
        <w:numId w:val="11"/>
      </w:numPr>
      <w:spacing w:after="40" w:line="240" w:lineRule="auto"/>
      <w:outlineLvl w:val="7"/>
    </w:pPr>
    <w:rPr>
      <w:rFonts w:eastAsiaTheme="majorEastAsia" w:cstheme="majorBidi"/>
    </w:rPr>
  </w:style>
  <w:style w:type="paragraph" w:styleId="Heading9">
    <w:name w:val="heading 9"/>
    <w:basedOn w:val="BodyText"/>
    <w:next w:val="BodyText"/>
    <w:link w:val="Heading9Char"/>
    <w:uiPriority w:val="9"/>
    <w:unhideWhenUsed/>
    <w:rsid w:val="00BB789B"/>
    <w:pPr>
      <w:keepNext/>
      <w:keepLines/>
      <w:numPr>
        <w:ilvl w:val="8"/>
        <w:numId w:val="11"/>
      </w:numPr>
      <w:spacing w:after="40" w:line="240" w:lineRule="auto"/>
      <w:outlineLvl w:val="8"/>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BB789B"/>
  </w:style>
  <w:style w:type="character" w:customStyle="1" w:styleId="BodyTextChar">
    <w:name w:val="Body Text Char"/>
    <w:basedOn w:val="DefaultParagraphFont"/>
    <w:link w:val="BodyText"/>
    <w:rsid w:val="00BB789B"/>
  </w:style>
  <w:style w:type="character" w:customStyle="1" w:styleId="Heading1Char">
    <w:name w:val="Heading 1 Char"/>
    <w:basedOn w:val="DefaultParagraphFont"/>
    <w:link w:val="Heading1"/>
    <w:uiPriority w:val="9"/>
    <w:rsid w:val="00BB789B"/>
    <w:rPr>
      <w:rFonts w:eastAsiaTheme="majorEastAsia" w:cstheme="majorBidi"/>
      <w:b/>
      <w:bCs/>
      <w:i/>
      <w:sz w:val="32"/>
      <w:szCs w:val="28"/>
    </w:rPr>
  </w:style>
  <w:style w:type="paragraph" w:styleId="TOCHeading">
    <w:name w:val="TOC Heading"/>
    <w:basedOn w:val="BodyText"/>
    <w:next w:val="BodyText"/>
    <w:uiPriority w:val="39"/>
    <w:unhideWhenUsed/>
    <w:qFormat/>
    <w:rsid w:val="00BB789B"/>
    <w:pPr>
      <w:keepNext/>
      <w:spacing w:before="480" w:after="40" w:line="240" w:lineRule="auto"/>
    </w:pPr>
    <w:rPr>
      <w:b/>
      <w:i/>
      <w:sz w:val="32"/>
    </w:rPr>
  </w:style>
  <w:style w:type="character" w:customStyle="1" w:styleId="Heading2Char">
    <w:name w:val="Heading 2 Char"/>
    <w:basedOn w:val="DefaultParagraphFont"/>
    <w:link w:val="Heading2"/>
    <w:uiPriority w:val="9"/>
    <w:rsid w:val="00BB789B"/>
    <w:rPr>
      <w:rFonts w:eastAsiaTheme="majorEastAsia" w:cstheme="majorBidi"/>
      <w:b/>
      <w:bCs/>
      <w:i/>
      <w:sz w:val="24"/>
      <w:szCs w:val="26"/>
    </w:rPr>
  </w:style>
  <w:style w:type="character" w:customStyle="1" w:styleId="Heading3Char">
    <w:name w:val="Heading 3 Char"/>
    <w:basedOn w:val="DefaultParagraphFont"/>
    <w:link w:val="Heading3"/>
    <w:uiPriority w:val="9"/>
    <w:rsid w:val="00BB789B"/>
    <w:rPr>
      <w:rFonts w:eastAsiaTheme="majorEastAsia" w:cstheme="majorBidi"/>
      <w:bCs/>
      <w:i/>
      <w:sz w:val="24"/>
    </w:rPr>
  </w:style>
  <w:style w:type="character" w:customStyle="1" w:styleId="Heading4Char">
    <w:name w:val="Heading 4 Char"/>
    <w:basedOn w:val="DefaultParagraphFont"/>
    <w:link w:val="Heading4"/>
    <w:uiPriority w:val="9"/>
    <w:rsid w:val="00BB789B"/>
    <w:rPr>
      <w:rFonts w:eastAsiaTheme="majorEastAsia" w:cstheme="majorBidi"/>
      <w:bCs/>
      <w:i/>
      <w:iCs/>
    </w:rPr>
  </w:style>
  <w:style w:type="character" w:customStyle="1" w:styleId="Heading5Char">
    <w:name w:val="Heading 5 Char"/>
    <w:basedOn w:val="DefaultParagraphFont"/>
    <w:link w:val="Heading5"/>
    <w:uiPriority w:val="9"/>
    <w:rsid w:val="00BB789B"/>
    <w:rPr>
      <w:rFonts w:eastAsiaTheme="majorEastAsia" w:cstheme="majorBidi"/>
    </w:rPr>
  </w:style>
  <w:style w:type="character" w:customStyle="1" w:styleId="Heading6Char">
    <w:name w:val="Heading 6 Char"/>
    <w:basedOn w:val="DefaultParagraphFont"/>
    <w:link w:val="Heading6"/>
    <w:uiPriority w:val="9"/>
    <w:rsid w:val="00BB789B"/>
    <w:rPr>
      <w:rFonts w:eastAsiaTheme="majorEastAsia" w:cstheme="majorBidi"/>
      <w:iCs/>
    </w:rPr>
  </w:style>
  <w:style w:type="character" w:customStyle="1" w:styleId="Heading7Char">
    <w:name w:val="Heading 7 Char"/>
    <w:basedOn w:val="DefaultParagraphFont"/>
    <w:link w:val="Heading7"/>
    <w:uiPriority w:val="9"/>
    <w:rsid w:val="00BB789B"/>
    <w:rPr>
      <w:rFonts w:eastAsiaTheme="majorEastAsia" w:cstheme="majorBidi"/>
      <w:iCs/>
    </w:rPr>
  </w:style>
  <w:style w:type="character" w:customStyle="1" w:styleId="Heading8Char">
    <w:name w:val="Heading 8 Char"/>
    <w:basedOn w:val="DefaultParagraphFont"/>
    <w:link w:val="Heading8"/>
    <w:uiPriority w:val="9"/>
    <w:rsid w:val="00BB789B"/>
    <w:rPr>
      <w:rFonts w:eastAsiaTheme="majorEastAsia" w:cstheme="majorBidi"/>
    </w:rPr>
  </w:style>
  <w:style w:type="character" w:customStyle="1" w:styleId="Heading9Char">
    <w:name w:val="Heading 9 Char"/>
    <w:basedOn w:val="DefaultParagraphFont"/>
    <w:link w:val="Heading9"/>
    <w:uiPriority w:val="9"/>
    <w:rsid w:val="00BB789B"/>
    <w:rPr>
      <w:rFonts w:eastAsiaTheme="majorEastAsia" w:cstheme="majorBidi"/>
      <w:iCs/>
    </w:rPr>
  </w:style>
  <w:style w:type="paragraph" w:styleId="Title">
    <w:name w:val="Title"/>
    <w:basedOn w:val="BodyText"/>
    <w:next w:val="BodyText"/>
    <w:link w:val="TitleChar"/>
    <w:uiPriority w:val="10"/>
    <w:qFormat/>
    <w:rsid w:val="00BB789B"/>
    <w:pPr>
      <w:keepNext/>
      <w:spacing w:after="0" w:line="240" w:lineRule="auto"/>
    </w:pPr>
    <w:rPr>
      <w:rFonts w:eastAsiaTheme="majorEastAsia" w:cstheme="majorBidi"/>
      <w:b/>
      <w:i/>
      <w:spacing w:val="5"/>
      <w:kern w:val="28"/>
      <w:sz w:val="56"/>
      <w:szCs w:val="52"/>
    </w:rPr>
  </w:style>
  <w:style w:type="character" w:customStyle="1" w:styleId="TitleChar">
    <w:name w:val="Title Char"/>
    <w:basedOn w:val="DefaultParagraphFont"/>
    <w:link w:val="Title"/>
    <w:uiPriority w:val="10"/>
    <w:rsid w:val="00BB789B"/>
    <w:rPr>
      <w:rFonts w:eastAsiaTheme="majorEastAsia" w:cstheme="majorBidi"/>
      <w:b/>
      <w:i/>
      <w:spacing w:val="5"/>
      <w:kern w:val="28"/>
      <w:sz w:val="56"/>
      <w:szCs w:val="52"/>
    </w:rPr>
  </w:style>
  <w:style w:type="paragraph" w:styleId="Subtitle">
    <w:name w:val="Subtitle"/>
    <w:basedOn w:val="Normal"/>
    <w:next w:val="BodyText"/>
    <w:link w:val="SubtitleChar"/>
    <w:hidden/>
    <w:uiPriority w:val="11"/>
    <w:rsid w:val="000734EF"/>
    <w:pPr>
      <w:numPr>
        <w:ilvl w:val="1"/>
      </w:numPr>
      <w:spacing w:after="1200" w:line="240" w:lineRule="auto"/>
    </w:pPr>
    <w:rPr>
      <w:rFonts w:eastAsiaTheme="majorEastAsia" w:cstheme="majorBidi"/>
      <w:iCs/>
      <w:sz w:val="40"/>
      <w:szCs w:val="24"/>
    </w:rPr>
  </w:style>
  <w:style w:type="character" w:customStyle="1" w:styleId="SubtitleChar">
    <w:name w:val="Subtitle Char"/>
    <w:basedOn w:val="DefaultParagraphFont"/>
    <w:link w:val="Subtitle"/>
    <w:uiPriority w:val="11"/>
    <w:rsid w:val="000734EF"/>
    <w:rPr>
      <w:rFonts w:eastAsiaTheme="majorEastAsia" w:cstheme="majorBidi"/>
      <w:iCs/>
      <w:sz w:val="40"/>
      <w:szCs w:val="24"/>
    </w:rPr>
  </w:style>
  <w:style w:type="paragraph" w:styleId="Caption">
    <w:name w:val="caption"/>
    <w:basedOn w:val="Normal"/>
    <w:next w:val="Normal"/>
    <w:uiPriority w:val="35"/>
    <w:unhideWhenUsed/>
    <w:qFormat/>
    <w:rsid w:val="00BB789B"/>
    <w:pPr>
      <w:spacing w:line="240" w:lineRule="auto"/>
    </w:pPr>
    <w:rPr>
      <w:b/>
      <w:bCs/>
      <w:color w:val="DC6900" w:themeColor="accent1"/>
      <w:sz w:val="18"/>
      <w:szCs w:val="18"/>
    </w:rPr>
  </w:style>
  <w:style w:type="paragraph" w:styleId="BlockText">
    <w:name w:val="Block Text"/>
    <w:basedOn w:val="Normal"/>
    <w:next w:val="BodyText"/>
    <w:uiPriority w:val="99"/>
    <w:unhideWhenUsed/>
    <w:rsid w:val="00FE3FB6"/>
    <w:pPr>
      <w:spacing w:line="240" w:lineRule="auto"/>
    </w:pPr>
    <w:rPr>
      <w:rFonts w:ascii="Georgie" w:hAnsi="Georgie"/>
      <w:b/>
      <w:i/>
      <w:color w:val="DC6900" w:themeColor="text2"/>
      <w:sz w:val="48"/>
      <w:szCs w:val="48"/>
    </w:rPr>
  </w:style>
  <w:style w:type="character" w:styleId="IntenseEmphasis">
    <w:name w:val="Intense Emphasis"/>
    <w:basedOn w:val="DefaultParagraphFont"/>
    <w:hidden/>
    <w:uiPriority w:val="21"/>
    <w:rsid w:val="00313243"/>
    <w:rPr>
      <w:b/>
      <w:bCs/>
      <w:i/>
      <w:iCs/>
      <w:color w:val="DC6900" w:themeColor="accent1"/>
    </w:rPr>
  </w:style>
  <w:style w:type="paragraph" w:styleId="IntenseQuote">
    <w:name w:val="Intense Quote"/>
    <w:basedOn w:val="Normal"/>
    <w:next w:val="Normal"/>
    <w:link w:val="IntenseQuoteChar"/>
    <w:hidden/>
    <w:uiPriority w:val="30"/>
    <w:unhideWhenUsed/>
    <w:rsid w:val="00604825"/>
    <w:pPr>
      <w:pBdr>
        <w:bottom w:val="single" w:sz="4" w:space="4" w:color="auto"/>
      </w:pBdr>
      <w:spacing w:before="200" w:after="280"/>
      <w:ind w:left="936" w:right="936"/>
    </w:pPr>
    <w:rPr>
      <w:b/>
      <w:bCs/>
      <w:i/>
      <w:iCs/>
      <w:color w:val="DC6900" w:themeColor="accent1"/>
      <w:sz w:val="22"/>
      <w:szCs w:val="22"/>
    </w:rPr>
  </w:style>
  <w:style w:type="character" w:customStyle="1" w:styleId="IntenseQuoteChar">
    <w:name w:val="Intense Quote Char"/>
    <w:basedOn w:val="DefaultParagraphFont"/>
    <w:link w:val="IntenseQuote"/>
    <w:uiPriority w:val="30"/>
    <w:rsid w:val="00604825"/>
    <w:rPr>
      <w:b/>
      <w:bCs/>
      <w:i/>
      <w:iCs/>
      <w:color w:val="DC6900" w:themeColor="accent1"/>
      <w:sz w:val="22"/>
      <w:szCs w:val="22"/>
    </w:rPr>
  </w:style>
  <w:style w:type="character" w:styleId="IntenseReference">
    <w:name w:val="Intense Reference"/>
    <w:basedOn w:val="DefaultParagraphFont"/>
    <w:hidden/>
    <w:uiPriority w:val="32"/>
    <w:semiHidden/>
    <w:unhideWhenUsed/>
    <w:rsid w:val="00313243"/>
    <w:rPr>
      <w:b/>
      <w:bCs/>
      <w:i w:val="0"/>
      <w:smallCaps/>
      <w:color w:val="FFB600" w:themeColor="accent2"/>
      <w:spacing w:val="5"/>
      <w:u w:val="none"/>
    </w:rPr>
  </w:style>
  <w:style w:type="character" w:styleId="SubtleEmphasis">
    <w:name w:val="Subtle Emphasis"/>
    <w:basedOn w:val="DefaultParagraphFont"/>
    <w:hidden/>
    <w:uiPriority w:val="19"/>
    <w:semiHidden/>
    <w:unhideWhenUsed/>
    <w:rsid w:val="00756FEA"/>
    <w:rPr>
      <w:b w:val="0"/>
      <w:i/>
      <w:iCs/>
      <w:color w:val="auto"/>
      <w:u w:val="none"/>
    </w:rPr>
  </w:style>
  <w:style w:type="character" w:styleId="SubtleReference">
    <w:name w:val="Subtle Reference"/>
    <w:basedOn w:val="DefaultParagraphFont"/>
    <w:uiPriority w:val="31"/>
    <w:semiHidden/>
    <w:unhideWhenUsed/>
    <w:qFormat/>
    <w:rsid w:val="00313243"/>
    <w:rPr>
      <w:b w:val="0"/>
      <w:i w:val="0"/>
      <w:smallCaps/>
      <w:color w:val="FFB600" w:themeColor="accent2"/>
      <w:u w:val="single"/>
    </w:rPr>
  </w:style>
  <w:style w:type="paragraph" w:styleId="ListBullet">
    <w:name w:val="List Bullet"/>
    <w:basedOn w:val="Normal"/>
    <w:link w:val="ListBulletChar"/>
    <w:uiPriority w:val="13"/>
    <w:qFormat/>
    <w:rsid w:val="00BB789B"/>
    <w:pPr>
      <w:numPr>
        <w:numId w:val="14"/>
      </w:numPr>
      <w:contextualSpacing/>
    </w:pPr>
  </w:style>
  <w:style w:type="paragraph" w:styleId="ListBullet2">
    <w:name w:val="List Bullet 2"/>
    <w:basedOn w:val="Normal"/>
    <w:uiPriority w:val="13"/>
    <w:rsid w:val="00BB789B"/>
    <w:pPr>
      <w:numPr>
        <w:ilvl w:val="1"/>
        <w:numId w:val="14"/>
      </w:numPr>
      <w:contextualSpacing/>
    </w:pPr>
  </w:style>
  <w:style w:type="paragraph" w:styleId="ListBullet3">
    <w:name w:val="List Bullet 3"/>
    <w:basedOn w:val="Normal"/>
    <w:uiPriority w:val="13"/>
    <w:rsid w:val="00BB789B"/>
    <w:pPr>
      <w:numPr>
        <w:ilvl w:val="2"/>
        <w:numId w:val="14"/>
      </w:numPr>
      <w:contextualSpacing/>
    </w:pPr>
  </w:style>
  <w:style w:type="table" w:styleId="TableGrid">
    <w:name w:val="Table Grid"/>
    <w:basedOn w:val="TableNormal"/>
    <w:uiPriority w:val="59"/>
    <w:rsid w:val="00B635D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hidden/>
    <w:uiPriority w:val="22"/>
    <w:rsid w:val="00CD5CE3"/>
    <w:rPr>
      <w:rFonts w:ascii="Georgia" w:hAnsi="Georgia"/>
      <w:b/>
      <w:bCs/>
      <w:sz w:val="20"/>
    </w:rPr>
  </w:style>
  <w:style w:type="paragraph" w:styleId="ListNumber">
    <w:name w:val="List Number"/>
    <w:basedOn w:val="Normal"/>
    <w:uiPriority w:val="14"/>
    <w:qFormat/>
    <w:rsid w:val="00BB789B"/>
    <w:pPr>
      <w:numPr>
        <w:numId w:val="8"/>
      </w:numPr>
      <w:contextualSpacing/>
    </w:pPr>
  </w:style>
  <w:style w:type="paragraph" w:customStyle="1" w:styleId="BodySingle">
    <w:name w:val="Body Single"/>
    <w:basedOn w:val="BodyText"/>
    <w:link w:val="BodySingleChar"/>
    <w:uiPriority w:val="1"/>
    <w:qFormat/>
    <w:rsid w:val="00BB789B"/>
    <w:pPr>
      <w:spacing w:after="0"/>
    </w:pPr>
  </w:style>
  <w:style w:type="character" w:customStyle="1" w:styleId="BodySingleChar">
    <w:name w:val="Body Single Char"/>
    <w:basedOn w:val="BodyTextChar"/>
    <w:link w:val="BodySingle"/>
    <w:uiPriority w:val="1"/>
    <w:rsid w:val="00BB789B"/>
  </w:style>
  <w:style w:type="paragraph" w:styleId="ListParagraph">
    <w:name w:val="List Paragraph"/>
    <w:basedOn w:val="Normal"/>
    <w:hidden/>
    <w:uiPriority w:val="34"/>
    <w:unhideWhenUsed/>
    <w:rsid w:val="0029269A"/>
    <w:pPr>
      <w:ind w:left="720"/>
      <w:contextualSpacing/>
    </w:pPr>
  </w:style>
  <w:style w:type="paragraph" w:styleId="Header">
    <w:name w:val="header"/>
    <w:basedOn w:val="Normal"/>
    <w:link w:val="HeaderChar"/>
    <w:hidden/>
    <w:uiPriority w:val="99"/>
    <w:unhideWhenUsed/>
    <w:rsid w:val="007E18F6"/>
    <w:pPr>
      <w:tabs>
        <w:tab w:val="center" w:pos="4536"/>
        <w:tab w:val="right" w:pos="9072"/>
      </w:tabs>
      <w:spacing w:after="0" w:line="240" w:lineRule="auto"/>
    </w:pPr>
    <w:rPr>
      <w:rFonts w:ascii="Arial" w:hAnsi="Arial"/>
      <w:sz w:val="18"/>
    </w:rPr>
  </w:style>
  <w:style w:type="character" w:customStyle="1" w:styleId="HeaderChar">
    <w:name w:val="Header Char"/>
    <w:basedOn w:val="DefaultParagraphFont"/>
    <w:link w:val="Header"/>
    <w:uiPriority w:val="99"/>
    <w:rsid w:val="007E18F6"/>
    <w:rPr>
      <w:rFonts w:ascii="Arial" w:hAnsi="Arial"/>
      <w:sz w:val="18"/>
    </w:rPr>
  </w:style>
  <w:style w:type="paragraph" w:styleId="Footer">
    <w:name w:val="footer"/>
    <w:basedOn w:val="Normal"/>
    <w:link w:val="FooterChar"/>
    <w:hidden/>
    <w:uiPriority w:val="99"/>
    <w:unhideWhenUsed/>
    <w:rsid w:val="007E18F6"/>
    <w:pPr>
      <w:tabs>
        <w:tab w:val="center" w:pos="4536"/>
        <w:tab w:val="right" w:pos="9072"/>
      </w:tabs>
      <w:spacing w:after="0" w:line="240" w:lineRule="auto"/>
    </w:pPr>
    <w:rPr>
      <w:rFonts w:ascii="Arial" w:hAnsi="Arial"/>
      <w:sz w:val="18"/>
    </w:rPr>
  </w:style>
  <w:style w:type="character" w:customStyle="1" w:styleId="FooterChar">
    <w:name w:val="Footer Char"/>
    <w:basedOn w:val="DefaultParagraphFont"/>
    <w:link w:val="Footer"/>
    <w:uiPriority w:val="99"/>
    <w:rsid w:val="007E18F6"/>
    <w:rPr>
      <w:rFonts w:ascii="Arial" w:hAnsi="Arial"/>
      <w:sz w:val="18"/>
    </w:rPr>
  </w:style>
  <w:style w:type="table" w:styleId="LightShading-Accent2">
    <w:name w:val="Light Shading Accent 2"/>
    <w:basedOn w:val="TableNormal"/>
    <w:hidden/>
    <w:uiPriority w:val="60"/>
    <w:rsid w:val="000D7DAE"/>
    <w:pPr>
      <w:spacing w:after="0" w:line="240" w:lineRule="auto"/>
    </w:pPr>
    <w:rPr>
      <w:color w:val="BF8800" w:themeColor="accent2" w:themeShade="BF"/>
    </w:rPr>
    <w:tblPr>
      <w:tblStyleRowBandSize w:val="1"/>
      <w:tblStyleColBandSize w:val="1"/>
      <w:tblBorders>
        <w:top w:val="single" w:sz="8" w:space="0" w:color="FFB600" w:themeColor="accent2"/>
        <w:bottom w:val="single" w:sz="8" w:space="0" w:color="FFB600" w:themeColor="accent2"/>
      </w:tblBorders>
    </w:tblPr>
    <w:tblStylePr w:type="firstRow">
      <w:pPr>
        <w:spacing w:before="0" w:after="0" w:line="240" w:lineRule="auto"/>
      </w:pPr>
      <w:rPr>
        <w:b/>
        <w:bCs/>
      </w:rPr>
      <w:tblPr/>
      <w:tcPr>
        <w:tcBorders>
          <w:top w:val="single" w:sz="8" w:space="0" w:color="FFB600" w:themeColor="accent2"/>
          <w:left w:val="nil"/>
          <w:bottom w:val="single" w:sz="8" w:space="0" w:color="FFB600" w:themeColor="accent2"/>
          <w:right w:val="nil"/>
          <w:insideH w:val="nil"/>
          <w:insideV w:val="nil"/>
        </w:tcBorders>
      </w:tcPr>
    </w:tblStylePr>
    <w:tblStylePr w:type="lastRow">
      <w:pPr>
        <w:spacing w:before="0" w:after="0" w:line="240" w:lineRule="auto"/>
      </w:pPr>
      <w:rPr>
        <w:b/>
        <w:bCs/>
      </w:rPr>
      <w:tblPr/>
      <w:tcPr>
        <w:tcBorders>
          <w:top w:val="single" w:sz="8" w:space="0" w:color="FFB600" w:themeColor="accent2"/>
          <w:left w:val="nil"/>
          <w:bottom w:val="single" w:sz="8" w:space="0" w:color="FFB6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CC0" w:themeFill="accent2" w:themeFillTint="3F"/>
      </w:tcPr>
    </w:tblStylePr>
    <w:tblStylePr w:type="band1Horz">
      <w:tblPr/>
      <w:tcPr>
        <w:tcBorders>
          <w:left w:val="nil"/>
          <w:right w:val="nil"/>
          <w:insideH w:val="nil"/>
          <w:insideV w:val="nil"/>
        </w:tcBorders>
        <w:shd w:val="clear" w:color="auto" w:fill="FFECC0" w:themeFill="accent2" w:themeFillTint="3F"/>
      </w:tcPr>
    </w:tblStylePr>
  </w:style>
  <w:style w:type="table" w:styleId="MediumShading1-Accent4">
    <w:name w:val="Medium Shading 1 Accent 4"/>
    <w:basedOn w:val="TableNormal"/>
    <w:hidden/>
    <w:uiPriority w:val="63"/>
    <w:rsid w:val="000D7DAE"/>
    <w:pPr>
      <w:spacing w:after="0" w:line="240" w:lineRule="auto"/>
    </w:pPr>
    <w:tblPr>
      <w:tblStyleRowBandSize w:val="1"/>
      <w:tblStyleColBandSize w:val="1"/>
      <w:tblBorders>
        <w:top w:val="single" w:sz="8" w:space="0" w:color="E997A5" w:themeColor="accent4" w:themeTint="BF"/>
        <w:left w:val="single" w:sz="8" w:space="0" w:color="E997A5" w:themeColor="accent4" w:themeTint="BF"/>
        <w:bottom w:val="single" w:sz="8" w:space="0" w:color="E997A5" w:themeColor="accent4" w:themeTint="BF"/>
        <w:right w:val="single" w:sz="8" w:space="0" w:color="E997A5" w:themeColor="accent4" w:themeTint="BF"/>
        <w:insideH w:val="single" w:sz="8" w:space="0" w:color="E997A5" w:themeColor="accent4" w:themeTint="BF"/>
      </w:tblBorders>
    </w:tblPr>
    <w:tblStylePr w:type="firstRow">
      <w:pPr>
        <w:spacing w:before="0" w:after="0" w:line="240" w:lineRule="auto"/>
      </w:pPr>
      <w:rPr>
        <w:b/>
        <w:bCs/>
        <w:color w:val="FFFFFF" w:themeColor="background1"/>
      </w:rPr>
      <w:tblPr/>
      <w:tcPr>
        <w:tcBorders>
          <w:top w:val="single" w:sz="8" w:space="0" w:color="E997A5" w:themeColor="accent4" w:themeTint="BF"/>
          <w:left w:val="single" w:sz="8" w:space="0" w:color="E997A5" w:themeColor="accent4" w:themeTint="BF"/>
          <w:bottom w:val="single" w:sz="8" w:space="0" w:color="E997A5" w:themeColor="accent4" w:themeTint="BF"/>
          <w:right w:val="single" w:sz="8" w:space="0" w:color="E997A5" w:themeColor="accent4" w:themeTint="BF"/>
          <w:insideH w:val="nil"/>
          <w:insideV w:val="nil"/>
        </w:tcBorders>
        <w:shd w:val="clear" w:color="auto" w:fill="E27588" w:themeFill="accent4"/>
      </w:tcPr>
    </w:tblStylePr>
    <w:tblStylePr w:type="lastRow">
      <w:pPr>
        <w:spacing w:before="0" w:after="0" w:line="240" w:lineRule="auto"/>
      </w:pPr>
      <w:rPr>
        <w:b/>
        <w:bCs/>
      </w:rPr>
      <w:tblPr/>
      <w:tcPr>
        <w:tcBorders>
          <w:top w:val="double" w:sz="6" w:space="0" w:color="E997A5" w:themeColor="accent4" w:themeTint="BF"/>
          <w:left w:val="single" w:sz="8" w:space="0" w:color="E997A5" w:themeColor="accent4" w:themeTint="BF"/>
          <w:bottom w:val="single" w:sz="8" w:space="0" w:color="E997A5" w:themeColor="accent4" w:themeTint="BF"/>
          <w:right w:val="single" w:sz="8" w:space="0" w:color="E997A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7DCE1" w:themeFill="accent4" w:themeFillTint="3F"/>
      </w:tcPr>
    </w:tblStylePr>
    <w:tblStylePr w:type="band1Horz">
      <w:tblPr/>
      <w:tcPr>
        <w:tcBorders>
          <w:insideH w:val="nil"/>
          <w:insideV w:val="nil"/>
        </w:tcBorders>
        <w:shd w:val="clear" w:color="auto" w:fill="F7DCE1" w:themeFill="accent4" w:themeFillTint="3F"/>
      </w:tcPr>
    </w:tblStylePr>
    <w:tblStylePr w:type="band2Horz">
      <w:tblPr/>
      <w:tcPr>
        <w:tcBorders>
          <w:insideH w:val="nil"/>
          <w:insideV w:val="nil"/>
        </w:tcBorders>
      </w:tcPr>
    </w:tblStylePr>
  </w:style>
  <w:style w:type="table" w:customStyle="1" w:styleId="MediumShading11">
    <w:name w:val="Medium Shading 11"/>
    <w:basedOn w:val="TableNormal"/>
    <w:uiPriority w:val="63"/>
    <w:rsid w:val="000D7DAE"/>
    <w:pPr>
      <w:spacing w:after="0" w:line="240" w:lineRule="auto"/>
    </w:pPr>
    <w:rPr>
      <w:sz w:val="16"/>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1">
    <w:name w:val="Medium Shading 1 - Accent 11"/>
    <w:basedOn w:val="TableNormal"/>
    <w:uiPriority w:val="63"/>
    <w:rsid w:val="000D7DAE"/>
    <w:pPr>
      <w:spacing w:after="0" w:line="240" w:lineRule="auto"/>
    </w:pPr>
    <w:tblPr>
      <w:tblStyleRowBandSize w:val="1"/>
      <w:tblStyleColBandSize w:val="1"/>
      <w:tblBorders>
        <w:top w:val="single" w:sz="8" w:space="0" w:color="FF8C25" w:themeColor="accent1" w:themeTint="BF"/>
        <w:left w:val="single" w:sz="8" w:space="0" w:color="FF8C25" w:themeColor="accent1" w:themeTint="BF"/>
        <w:bottom w:val="single" w:sz="8" w:space="0" w:color="FF8C25" w:themeColor="accent1" w:themeTint="BF"/>
        <w:right w:val="single" w:sz="8" w:space="0" w:color="FF8C25" w:themeColor="accent1" w:themeTint="BF"/>
        <w:insideH w:val="single" w:sz="8" w:space="0" w:color="FF8C25" w:themeColor="accent1" w:themeTint="BF"/>
      </w:tblBorders>
    </w:tblPr>
    <w:tblStylePr w:type="firstRow">
      <w:pPr>
        <w:spacing w:before="0" w:after="0" w:line="240" w:lineRule="auto"/>
      </w:pPr>
      <w:rPr>
        <w:b/>
        <w:bCs/>
        <w:color w:val="FFFFFF" w:themeColor="background1"/>
      </w:rPr>
      <w:tblPr/>
      <w:tcPr>
        <w:tcBorders>
          <w:top w:val="single" w:sz="8" w:space="0" w:color="FF8C25" w:themeColor="accent1" w:themeTint="BF"/>
          <w:left w:val="single" w:sz="8" w:space="0" w:color="FF8C25" w:themeColor="accent1" w:themeTint="BF"/>
          <w:bottom w:val="single" w:sz="8" w:space="0" w:color="FF8C25" w:themeColor="accent1" w:themeTint="BF"/>
          <w:right w:val="single" w:sz="8" w:space="0" w:color="FF8C25" w:themeColor="accent1" w:themeTint="BF"/>
          <w:insideH w:val="nil"/>
          <w:insideV w:val="nil"/>
        </w:tcBorders>
        <w:shd w:val="clear" w:color="auto" w:fill="DC6900" w:themeFill="accent1"/>
      </w:tcPr>
    </w:tblStylePr>
    <w:tblStylePr w:type="lastRow">
      <w:pPr>
        <w:spacing w:before="0" w:after="0" w:line="240" w:lineRule="auto"/>
      </w:pPr>
      <w:rPr>
        <w:b/>
        <w:bCs/>
      </w:rPr>
      <w:tblPr/>
      <w:tcPr>
        <w:tcBorders>
          <w:top w:val="double" w:sz="6" w:space="0" w:color="FF8C25" w:themeColor="accent1" w:themeTint="BF"/>
          <w:left w:val="single" w:sz="8" w:space="0" w:color="FF8C25" w:themeColor="accent1" w:themeTint="BF"/>
          <w:bottom w:val="single" w:sz="8" w:space="0" w:color="FF8C25" w:themeColor="accent1" w:themeTint="BF"/>
          <w:right w:val="single" w:sz="8" w:space="0" w:color="FF8C2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9B7" w:themeFill="accent1" w:themeFillTint="3F"/>
      </w:tcPr>
    </w:tblStylePr>
    <w:tblStylePr w:type="band1Horz">
      <w:tblPr/>
      <w:tcPr>
        <w:tcBorders>
          <w:insideH w:val="nil"/>
          <w:insideV w:val="nil"/>
        </w:tcBorders>
        <w:shd w:val="clear" w:color="auto" w:fill="FFD9B7" w:themeFill="accent1" w:themeFillTint="3F"/>
      </w:tcPr>
    </w:tblStylePr>
    <w:tblStylePr w:type="band2Horz">
      <w:tblPr/>
      <w:tcPr>
        <w:tcBorders>
          <w:insideH w:val="nil"/>
          <w:insideV w:val="nil"/>
        </w:tcBorders>
      </w:tcPr>
    </w:tblStylePr>
  </w:style>
  <w:style w:type="table" w:customStyle="1" w:styleId="LightList1">
    <w:name w:val="Light List1"/>
    <w:basedOn w:val="TableNormal"/>
    <w:uiPriority w:val="61"/>
    <w:rsid w:val="000D7DAE"/>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1">
    <w:name w:val="Light List - Accent 11"/>
    <w:basedOn w:val="TableNormal"/>
    <w:uiPriority w:val="61"/>
    <w:rsid w:val="000D7DAE"/>
    <w:pPr>
      <w:spacing w:after="0" w:line="240" w:lineRule="auto"/>
    </w:pPr>
    <w:tblPr>
      <w:tblStyleRowBandSize w:val="1"/>
      <w:tblStyleColBandSize w:val="1"/>
      <w:tblBorders>
        <w:top w:val="single" w:sz="8" w:space="0" w:color="DC6900" w:themeColor="accent1"/>
        <w:left w:val="single" w:sz="8" w:space="0" w:color="DC6900" w:themeColor="accent1"/>
        <w:bottom w:val="single" w:sz="8" w:space="0" w:color="DC6900" w:themeColor="accent1"/>
        <w:right w:val="single" w:sz="8" w:space="0" w:color="DC6900" w:themeColor="accent1"/>
      </w:tblBorders>
    </w:tblPr>
    <w:tblStylePr w:type="firstRow">
      <w:pPr>
        <w:spacing w:before="0" w:after="0" w:line="240" w:lineRule="auto"/>
      </w:pPr>
      <w:rPr>
        <w:b/>
        <w:bCs/>
        <w:color w:val="FFFFFF" w:themeColor="background1"/>
      </w:rPr>
      <w:tblPr/>
      <w:tcPr>
        <w:shd w:val="clear" w:color="auto" w:fill="DC6900" w:themeFill="accent1"/>
      </w:tcPr>
    </w:tblStylePr>
    <w:tblStylePr w:type="lastRow">
      <w:pPr>
        <w:spacing w:before="0" w:after="0" w:line="240" w:lineRule="auto"/>
      </w:pPr>
      <w:rPr>
        <w:b/>
        <w:bCs/>
      </w:rPr>
      <w:tblPr/>
      <w:tcPr>
        <w:tcBorders>
          <w:top w:val="double" w:sz="6" w:space="0" w:color="DC6900" w:themeColor="accent1"/>
          <w:left w:val="single" w:sz="8" w:space="0" w:color="DC6900" w:themeColor="accent1"/>
          <w:bottom w:val="single" w:sz="8" w:space="0" w:color="DC6900" w:themeColor="accent1"/>
          <w:right w:val="single" w:sz="8" w:space="0" w:color="DC6900" w:themeColor="accent1"/>
        </w:tcBorders>
      </w:tcPr>
    </w:tblStylePr>
    <w:tblStylePr w:type="firstCol">
      <w:rPr>
        <w:b/>
        <w:bCs/>
      </w:rPr>
    </w:tblStylePr>
    <w:tblStylePr w:type="lastCol">
      <w:rPr>
        <w:b/>
        <w:bCs/>
      </w:rPr>
    </w:tblStylePr>
    <w:tblStylePr w:type="band1Vert">
      <w:tblPr/>
      <w:tcPr>
        <w:tcBorders>
          <w:top w:val="single" w:sz="8" w:space="0" w:color="DC6900" w:themeColor="accent1"/>
          <w:left w:val="single" w:sz="8" w:space="0" w:color="DC6900" w:themeColor="accent1"/>
          <w:bottom w:val="single" w:sz="8" w:space="0" w:color="DC6900" w:themeColor="accent1"/>
          <w:right w:val="single" w:sz="8" w:space="0" w:color="DC6900" w:themeColor="accent1"/>
        </w:tcBorders>
      </w:tcPr>
    </w:tblStylePr>
    <w:tblStylePr w:type="band1Horz">
      <w:tblPr/>
      <w:tcPr>
        <w:tcBorders>
          <w:top w:val="single" w:sz="8" w:space="0" w:color="DC6900" w:themeColor="accent1"/>
          <w:left w:val="single" w:sz="8" w:space="0" w:color="DC6900" w:themeColor="accent1"/>
          <w:bottom w:val="single" w:sz="8" w:space="0" w:color="DC6900" w:themeColor="accent1"/>
          <w:right w:val="single" w:sz="8" w:space="0" w:color="DC6900" w:themeColor="accent1"/>
        </w:tcBorders>
      </w:tcPr>
    </w:tblStylePr>
  </w:style>
  <w:style w:type="paragraph" w:customStyle="1" w:styleId="LocalLegalName">
    <w:name w:val="LocalLegalName"/>
    <w:basedOn w:val="Normal"/>
    <w:uiPriority w:val="34"/>
    <w:rsid w:val="00931EF6"/>
    <w:pPr>
      <w:spacing w:after="0" w:line="220" w:lineRule="atLeast"/>
    </w:pPr>
    <w:rPr>
      <w:i/>
      <w:sz w:val="18"/>
    </w:rPr>
  </w:style>
  <w:style w:type="paragraph" w:customStyle="1" w:styleId="Appendix5">
    <w:name w:val="Appendix 5"/>
    <w:basedOn w:val="BodyText"/>
    <w:next w:val="BodyText"/>
    <w:uiPriority w:val="34"/>
    <w:qFormat/>
    <w:rsid w:val="00BB789B"/>
    <w:pPr>
      <w:keepNext/>
      <w:numPr>
        <w:ilvl w:val="4"/>
        <w:numId w:val="10"/>
      </w:numPr>
      <w:spacing w:after="40" w:line="240" w:lineRule="auto"/>
      <w:outlineLvl w:val="4"/>
    </w:pPr>
  </w:style>
  <w:style w:type="paragraph" w:styleId="ListNumber2">
    <w:name w:val="List Number 2"/>
    <w:basedOn w:val="Normal"/>
    <w:uiPriority w:val="14"/>
    <w:rsid w:val="00BB789B"/>
    <w:pPr>
      <w:numPr>
        <w:ilvl w:val="1"/>
        <w:numId w:val="8"/>
      </w:numPr>
      <w:contextualSpacing/>
    </w:pPr>
  </w:style>
  <w:style w:type="paragraph" w:styleId="ListNumber3">
    <w:name w:val="List Number 3"/>
    <w:basedOn w:val="Normal"/>
    <w:uiPriority w:val="14"/>
    <w:rsid w:val="00BB789B"/>
    <w:pPr>
      <w:numPr>
        <w:ilvl w:val="2"/>
        <w:numId w:val="8"/>
      </w:numPr>
      <w:contextualSpacing/>
    </w:pPr>
  </w:style>
  <w:style w:type="table" w:customStyle="1" w:styleId="PwCTable1">
    <w:name w:val="PwC Table 1"/>
    <w:basedOn w:val="TableNormal"/>
    <w:uiPriority w:val="99"/>
    <w:qFormat/>
    <w:rsid w:val="007746EB"/>
    <w:pPr>
      <w:spacing w:after="0" w:line="240" w:lineRule="auto"/>
    </w:pPr>
    <w:rPr>
      <w:sz w:val="18"/>
      <w:szCs w:val="22"/>
    </w:rPr>
    <w:tblPr>
      <w:tblStyleRowBandSize w:val="1"/>
      <w:tblBorders>
        <w:bottom w:val="single" w:sz="4" w:space="0" w:color="DC6900" w:themeColor="accent1"/>
        <w:insideH w:val="single" w:sz="4" w:space="0" w:color="DC6900" w:themeColor="accent1"/>
      </w:tblBorders>
      <w:tblCellMar>
        <w:top w:w="57" w:type="dxa"/>
        <w:left w:w="0" w:type="dxa"/>
        <w:bottom w:w="57" w:type="dxa"/>
        <w:right w:w="0" w:type="dxa"/>
      </w:tblCellMar>
    </w:tblPr>
    <w:tblStylePr w:type="firstRow">
      <w:pPr>
        <w:wordWrap/>
        <w:spacing w:beforeLines="0" w:beforeAutospacing="0" w:afterLines="0" w:afterAutospacing="0" w:line="210" w:lineRule="atLeast"/>
        <w:contextualSpacing w:val="0"/>
      </w:pPr>
      <w:rPr>
        <w:rFonts w:asciiTheme="majorHAnsi" w:hAnsiTheme="majorHAnsi"/>
        <w:b/>
        <w:color w:val="DC6900" w:themeColor="accent1"/>
        <w:sz w:val="18"/>
      </w:rPr>
      <w:tblPr/>
      <w:tcPr>
        <w:tcBorders>
          <w:top w:val="nil"/>
          <w:left w:val="nil"/>
          <w:bottom w:val="single" w:sz="8" w:space="0" w:color="DC6900" w:themeColor="text2"/>
          <w:right w:val="nil"/>
          <w:insideH w:val="nil"/>
          <w:insideV w:val="nil"/>
          <w:tl2br w:val="nil"/>
          <w:tr2bl w:val="nil"/>
        </w:tcBorders>
      </w:tcPr>
    </w:tblStylePr>
    <w:tblStylePr w:type="lastRow">
      <w:tblPr/>
      <w:tcPr>
        <w:tcBorders>
          <w:top w:val="nil"/>
          <w:left w:val="nil"/>
          <w:bottom w:val="single" w:sz="4" w:space="0" w:color="DC6900" w:themeColor="accent1"/>
          <w:right w:val="nil"/>
          <w:insideH w:val="nil"/>
          <w:insideV w:val="nil"/>
          <w:tl2br w:val="nil"/>
          <w:tr2bl w:val="nil"/>
        </w:tcBorders>
      </w:tcPr>
    </w:tblStylePr>
    <w:tblStylePr w:type="band1Horz">
      <w:pPr>
        <w:wordWrap/>
        <w:spacing w:beforeLines="0" w:beforeAutospacing="0" w:afterLines="0" w:afterAutospacing="0" w:line="210" w:lineRule="atLeast"/>
      </w:pPr>
    </w:tblStylePr>
    <w:tblStylePr w:type="band2Horz">
      <w:pPr>
        <w:wordWrap/>
        <w:spacing w:beforeLines="0" w:beforeAutospacing="0" w:afterLines="0" w:afterAutospacing="0" w:line="210" w:lineRule="atLeast"/>
      </w:pPr>
    </w:tblStylePr>
  </w:style>
  <w:style w:type="numbering" w:customStyle="1" w:styleId="PwCListBullets1">
    <w:name w:val="PwC List Bullets 1"/>
    <w:uiPriority w:val="99"/>
    <w:rsid w:val="00ED73E5"/>
    <w:pPr>
      <w:numPr>
        <w:numId w:val="1"/>
      </w:numPr>
    </w:pPr>
  </w:style>
  <w:style w:type="numbering" w:customStyle="1" w:styleId="PwCListNumbers1">
    <w:name w:val="PwC List Numbers 1"/>
    <w:uiPriority w:val="99"/>
    <w:rsid w:val="00ED73E5"/>
    <w:pPr>
      <w:numPr>
        <w:numId w:val="2"/>
      </w:numPr>
    </w:pPr>
  </w:style>
  <w:style w:type="paragraph" w:styleId="ListBullet4">
    <w:name w:val="List Bullet 4"/>
    <w:basedOn w:val="Normal"/>
    <w:uiPriority w:val="13"/>
    <w:unhideWhenUsed/>
    <w:rsid w:val="00BB789B"/>
    <w:pPr>
      <w:numPr>
        <w:ilvl w:val="3"/>
        <w:numId w:val="14"/>
      </w:numPr>
      <w:contextualSpacing/>
    </w:pPr>
  </w:style>
  <w:style w:type="paragraph" w:styleId="ListContinue">
    <w:name w:val="List Continue"/>
    <w:basedOn w:val="StandardText"/>
    <w:uiPriority w:val="14"/>
    <w:unhideWhenUsed/>
    <w:qFormat/>
    <w:rsid w:val="00BB789B"/>
    <w:pPr>
      <w:ind w:left="567"/>
      <w:contextualSpacing/>
    </w:pPr>
  </w:style>
  <w:style w:type="paragraph" w:styleId="ListContinue2">
    <w:name w:val="List Continue 2"/>
    <w:basedOn w:val="StandardText"/>
    <w:uiPriority w:val="14"/>
    <w:unhideWhenUsed/>
    <w:rsid w:val="00BB789B"/>
    <w:pPr>
      <w:ind w:left="1134"/>
      <w:contextualSpacing/>
    </w:pPr>
  </w:style>
  <w:style w:type="paragraph" w:styleId="List3">
    <w:name w:val="List 3"/>
    <w:basedOn w:val="BodyText"/>
    <w:uiPriority w:val="14"/>
    <w:rsid w:val="00BB789B"/>
    <w:pPr>
      <w:ind w:left="1701" w:hanging="567"/>
      <w:contextualSpacing/>
    </w:pPr>
  </w:style>
  <w:style w:type="paragraph" w:styleId="List4">
    <w:name w:val="List 4"/>
    <w:basedOn w:val="BodyText"/>
    <w:uiPriority w:val="14"/>
    <w:unhideWhenUsed/>
    <w:rsid w:val="00BB789B"/>
    <w:pPr>
      <w:ind w:left="2268" w:hanging="567"/>
      <w:contextualSpacing/>
    </w:pPr>
  </w:style>
  <w:style w:type="paragraph" w:styleId="List5">
    <w:name w:val="List 5"/>
    <w:basedOn w:val="BodyText"/>
    <w:uiPriority w:val="14"/>
    <w:unhideWhenUsed/>
    <w:rsid w:val="00BB789B"/>
    <w:pPr>
      <w:ind w:left="2835" w:hanging="567"/>
      <w:contextualSpacing/>
    </w:pPr>
  </w:style>
  <w:style w:type="paragraph" w:styleId="ListContinue3">
    <w:name w:val="List Continue 3"/>
    <w:basedOn w:val="StandardText"/>
    <w:uiPriority w:val="14"/>
    <w:unhideWhenUsed/>
    <w:rsid w:val="00BB789B"/>
    <w:pPr>
      <w:ind w:left="1701"/>
      <w:contextualSpacing/>
    </w:pPr>
  </w:style>
  <w:style w:type="paragraph" w:styleId="ListContinue4">
    <w:name w:val="List Continue 4"/>
    <w:basedOn w:val="StandardText"/>
    <w:uiPriority w:val="14"/>
    <w:unhideWhenUsed/>
    <w:rsid w:val="00BB789B"/>
    <w:pPr>
      <w:ind w:left="2268"/>
      <w:contextualSpacing/>
    </w:pPr>
  </w:style>
  <w:style w:type="paragraph" w:styleId="ListContinue5">
    <w:name w:val="List Continue 5"/>
    <w:basedOn w:val="StandardText"/>
    <w:uiPriority w:val="14"/>
    <w:unhideWhenUsed/>
    <w:rsid w:val="00BB789B"/>
    <w:pPr>
      <w:ind w:left="2835"/>
      <w:contextualSpacing/>
    </w:pPr>
  </w:style>
  <w:style w:type="paragraph" w:styleId="ListNumber4">
    <w:name w:val="List Number 4"/>
    <w:basedOn w:val="Normal"/>
    <w:uiPriority w:val="14"/>
    <w:unhideWhenUsed/>
    <w:rsid w:val="00BB789B"/>
    <w:pPr>
      <w:numPr>
        <w:ilvl w:val="3"/>
        <w:numId w:val="8"/>
      </w:numPr>
      <w:contextualSpacing/>
    </w:pPr>
  </w:style>
  <w:style w:type="paragraph" w:styleId="ListNumber5">
    <w:name w:val="List Number 5"/>
    <w:basedOn w:val="Normal"/>
    <w:uiPriority w:val="14"/>
    <w:unhideWhenUsed/>
    <w:rsid w:val="00BB789B"/>
    <w:pPr>
      <w:numPr>
        <w:ilvl w:val="4"/>
        <w:numId w:val="8"/>
      </w:numPr>
      <w:contextualSpacing/>
    </w:pPr>
  </w:style>
  <w:style w:type="paragraph" w:styleId="ListBullet5">
    <w:name w:val="List Bullet 5"/>
    <w:basedOn w:val="Normal"/>
    <w:uiPriority w:val="13"/>
    <w:unhideWhenUsed/>
    <w:rsid w:val="00BB789B"/>
    <w:pPr>
      <w:numPr>
        <w:ilvl w:val="4"/>
        <w:numId w:val="14"/>
      </w:numPr>
      <w:contextualSpacing/>
    </w:pPr>
  </w:style>
  <w:style w:type="paragraph" w:styleId="List2">
    <w:name w:val="List 2"/>
    <w:basedOn w:val="BodyText"/>
    <w:uiPriority w:val="14"/>
    <w:rsid w:val="00BB789B"/>
    <w:pPr>
      <w:ind w:left="1134" w:hanging="567"/>
      <w:contextualSpacing/>
    </w:pPr>
  </w:style>
  <w:style w:type="paragraph" w:styleId="List">
    <w:name w:val="List"/>
    <w:basedOn w:val="BodyText"/>
    <w:uiPriority w:val="14"/>
    <w:rsid w:val="00BB789B"/>
    <w:pPr>
      <w:ind w:left="567" w:hanging="567"/>
      <w:contextualSpacing/>
    </w:pPr>
  </w:style>
  <w:style w:type="paragraph" w:customStyle="1" w:styleId="Appendix4">
    <w:name w:val="Appendix 4"/>
    <w:basedOn w:val="BodyText"/>
    <w:next w:val="BodyText"/>
    <w:uiPriority w:val="34"/>
    <w:qFormat/>
    <w:rsid w:val="00BB789B"/>
    <w:pPr>
      <w:keepNext/>
      <w:numPr>
        <w:ilvl w:val="3"/>
        <w:numId w:val="10"/>
      </w:numPr>
      <w:spacing w:after="40" w:line="240" w:lineRule="auto"/>
      <w:outlineLvl w:val="3"/>
    </w:pPr>
    <w:rPr>
      <w:i/>
    </w:rPr>
  </w:style>
  <w:style w:type="paragraph" w:customStyle="1" w:styleId="Appendix3">
    <w:name w:val="Appendix 3"/>
    <w:basedOn w:val="BodyText"/>
    <w:next w:val="BodyText"/>
    <w:uiPriority w:val="34"/>
    <w:qFormat/>
    <w:rsid w:val="00BB789B"/>
    <w:pPr>
      <w:keepNext/>
      <w:numPr>
        <w:ilvl w:val="2"/>
        <w:numId w:val="10"/>
      </w:numPr>
      <w:spacing w:after="40" w:line="240" w:lineRule="auto"/>
      <w:outlineLvl w:val="2"/>
    </w:pPr>
    <w:rPr>
      <w:i/>
      <w:sz w:val="24"/>
    </w:rPr>
  </w:style>
  <w:style w:type="paragraph" w:customStyle="1" w:styleId="Appendix2">
    <w:name w:val="Appendix 2"/>
    <w:basedOn w:val="BodyText"/>
    <w:next w:val="BodyText"/>
    <w:uiPriority w:val="34"/>
    <w:qFormat/>
    <w:rsid w:val="00BB789B"/>
    <w:pPr>
      <w:keepNext/>
      <w:numPr>
        <w:ilvl w:val="1"/>
        <w:numId w:val="10"/>
      </w:numPr>
      <w:spacing w:after="40" w:line="240" w:lineRule="auto"/>
      <w:outlineLvl w:val="1"/>
    </w:pPr>
    <w:rPr>
      <w:b/>
      <w:i/>
      <w:sz w:val="24"/>
    </w:rPr>
  </w:style>
  <w:style w:type="paragraph" w:customStyle="1" w:styleId="Appendix1">
    <w:name w:val="Appendix 1"/>
    <w:basedOn w:val="BodyText"/>
    <w:next w:val="BodyText"/>
    <w:uiPriority w:val="34"/>
    <w:qFormat/>
    <w:rsid w:val="00BB789B"/>
    <w:pPr>
      <w:keepNext/>
      <w:numPr>
        <w:numId w:val="10"/>
      </w:numPr>
      <w:spacing w:after="40" w:line="240" w:lineRule="auto"/>
      <w:outlineLvl w:val="0"/>
    </w:pPr>
    <w:rPr>
      <w:b/>
      <w:i/>
      <w:sz w:val="32"/>
    </w:rPr>
  </w:style>
  <w:style w:type="paragraph" w:styleId="TOC1">
    <w:name w:val="toc 1"/>
    <w:basedOn w:val="Normal"/>
    <w:next w:val="Normal"/>
    <w:uiPriority w:val="39"/>
    <w:unhideWhenUsed/>
    <w:qFormat/>
    <w:rsid w:val="00BB789B"/>
    <w:pPr>
      <w:pBdr>
        <w:top w:val="single" w:sz="8" w:space="4" w:color="auto"/>
      </w:pBdr>
      <w:tabs>
        <w:tab w:val="right" w:pos="9071"/>
      </w:tabs>
      <w:spacing w:before="120" w:after="120"/>
      <w:ind w:left="567" w:hanging="567"/>
    </w:pPr>
    <w:rPr>
      <w:noProof/>
    </w:rPr>
  </w:style>
  <w:style w:type="paragraph" w:styleId="TOC2">
    <w:name w:val="toc 2"/>
    <w:basedOn w:val="Normal"/>
    <w:next w:val="Normal"/>
    <w:uiPriority w:val="39"/>
    <w:unhideWhenUsed/>
    <w:qFormat/>
    <w:rsid w:val="003A706F"/>
    <w:pPr>
      <w:pBdr>
        <w:top w:val="dotted" w:sz="8" w:space="4" w:color="auto"/>
      </w:pBdr>
      <w:tabs>
        <w:tab w:val="right" w:pos="9071"/>
      </w:tabs>
      <w:spacing w:before="120" w:after="120"/>
      <w:ind w:left="567" w:hanging="567"/>
    </w:pPr>
    <w:rPr>
      <w:noProof/>
    </w:rPr>
  </w:style>
  <w:style w:type="paragraph" w:styleId="TOC3">
    <w:name w:val="toc 3"/>
    <w:basedOn w:val="Normal"/>
    <w:next w:val="Normal"/>
    <w:uiPriority w:val="39"/>
    <w:unhideWhenUsed/>
    <w:qFormat/>
    <w:rsid w:val="003A706F"/>
    <w:pPr>
      <w:tabs>
        <w:tab w:val="right" w:pos="9071"/>
      </w:tabs>
      <w:spacing w:before="120" w:after="120"/>
      <w:ind w:left="992" w:hanging="709"/>
    </w:pPr>
    <w:rPr>
      <w:noProof/>
    </w:rPr>
  </w:style>
  <w:style w:type="character" w:styleId="Hyperlink">
    <w:name w:val="Hyperlink"/>
    <w:basedOn w:val="DefaultParagraphFont"/>
    <w:uiPriority w:val="99"/>
    <w:unhideWhenUsed/>
    <w:rsid w:val="00727A43"/>
    <w:rPr>
      <w:color w:val="0000FF" w:themeColor="hyperlink"/>
      <w:u w:val="single"/>
    </w:rPr>
  </w:style>
  <w:style w:type="paragraph" w:styleId="BalloonText">
    <w:name w:val="Balloon Text"/>
    <w:basedOn w:val="Normal"/>
    <w:link w:val="BalloonTextChar"/>
    <w:uiPriority w:val="99"/>
    <w:unhideWhenUsed/>
    <w:rsid w:val="00BB78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B789B"/>
    <w:rPr>
      <w:rFonts w:ascii="Tahoma" w:hAnsi="Tahoma" w:cs="Tahoma"/>
      <w:sz w:val="16"/>
      <w:szCs w:val="16"/>
    </w:rPr>
  </w:style>
  <w:style w:type="paragraph" w:customStyle="1" w:styleId="LocalLegalAddress">
    <w:name w:val="LocalLegalAddress"/>
    <w:basedOn w:val="BodyText"/>
    <w:next w:val="LocalLegalContact"/>
    <w:uiPriority w:val="34"/>
    <w:rsid w:val="00BB789B"/>
    <w:pPr>
      <w:spacing w:after="0" w:line="220" w:lineRule="atLeast"/>
    </w:pPr>
    <w:rPr>
      <w:i/>
      <w:sz w:val="18"/>
    </w:rPr>
  </w:style>
  <w:style w:type="paragraph" w:customStyle="1" w:styleId="NamePosition">
    <w:name w:val="NamePosition"/>
    <w:basedOn w:val="Normal"/>
    <w:uiPriority w:val="34"/>
    <w:qFormat/>
    <w:rsid w:val="00931EF6"/>
    <w:pPr>
      <w:spacing w:after="0"/>
    </w:pPr>
  </w:style>
  <w:style w:type="paragraph" w:customStyle="1" w:styleId="AuditFirm">
    <w:name w:val="AuditFirm"/>
    <w:basedOn w:val="Normal"/>
    <w:next w:val="NamePosition"/>
    <w:uiPriority w:val="34"/>
    <w:qFormat/>
    <w:rsid w:val="00BB789B"/>
    <w:pPr>
      <w:spacing w:after="720"/>
    </w:pPr>
  </w:style>
  <w:style w:type="paragraph" w:customStyle="1" w:styleId="ChartTableTitle">
    <w:name w:val="Chart Table Title"/>
    <w:basedOn w:val="Normal"/>
    <w:uiPriority w:val="34"/>
    <w:qFormat/>
    <w:rsid w:val="00D370C5"/>
    <w:pPr>
      <w:spacing w:after="0"/>
    </w:pPr>
    <w:rPr>
      <w:b/>
      <w:i/>
    </w:rPr>
  </w:style>
  <w:style w:type="paragraph" w:customStyle="1" w:styleId="CompanyContactName">
    <w:name w:val="CompanyContactName"/>
    <w:basedOn w:val="Normal"/>
    <w:uiPriority w:val="34"/>
    <w:qFormat/>
    <w:rsid w:val="00FE3FB6"/>
    <w:pPr>
      <w:spacing w:after="0"/>
    </w:pPr>
  </w:style>
  <w:style w:type="paragraph" w:customStyle="1" w:styleId="LetterDate">
    <w:name w:val="LetterDate"/>
    <w:basedOn w:val="Normal"/>
    <w:next w:val="LetterRef"/>
    <w:uiPriority w:val="34"/>
    <w:qFormat/>
    <w:rsid w:val="00931EF6"/>
    <w:pPr>
      <w:spacing w:before="480"/>
    </w:pPr>
  </w:style>
  <w:style w:type="paragraph" w:customStyle="1" w:styleId="FooterLegalDetails">
    <w:name w:val="FooterLegalDetails"/>
    <w:basedOn w:val="Normal"/>
    <w:next w:val="BodySingle"/>
    <w:uiPriority w:val="34"/>
    <w:rsid w:val="00FB5755"/>
    <w:pPr>
      <w:spacing w:after="0" w:line="140" w:lineRule="exact"/>
    </w:pPr>
    <w:rPr>
      <w:rFonts w:ascii="Arial" w:hAnsi="Arial" w:cs="Arial"/>
      <w:sz w:val="12"/>
    </w:rPr>
  </w:style>
  <w:style w:type="paragraph" w:customStyle="1" w:styleId="FormalSignOff">
    <w:name w:val="FormalSignOff"/>
    <w:basedOn w:val="BodyText"/>
    <w:next w:val="AuditFirm"/>
    <w:uiPriority w:val="34"/>
    <w:qFormat/>
    <w:rsid w:val="00FB5755"/>
    <w:pPr>
      <w:spacing w:before="240" w:after="0"/>
    </w:pPr>
  </w:style>
  <w:style w:type="paragraph" w:customStyle="1" w:styleId="LetterRef">
    <w:name w:val="LetterRef"/>
    <w:basedOn w:val="Normal"/>
    <w:next w:val="BodyText"/>
    <w:uiPriority w:val="34"/>
    <w:qFormat/>
    <w:rsid w:val="00BB789B"/>
  </w:style>
  <w:style w:type="paragraph" w:customStyle="1" w:styleId="PageNumber">
    <w:name w:val="PageNumber"/>
    <w:basedOn w:val="Normal"/>
    <w:uiPriority w:val="34"/>
    <w:rsid w:val="00931EF6"/>
    <w:pPr>
      <w:spacing w:after="0" w:line="240" w:lineRule="auto"/>
    </w:pPr>
  </w:style>
  <w:style w:type="paragraph" w:customStyle="1" w:styleId="ContactHeading">
    <w:name w:val="ContactHeading"/>
    <w:basedOn w:val="Normal"/>
    <w:uiPriority w:val="34"/>
    <w:rsid w:val="005D1275"/>
    <w:pPr>
      <w:spacing w:after="0" w:line="290" w:lineRule="atLeast"/>
    </w:pPr>
    <w:rPr>
      <w:sz w:val="18"/>
    </w:rPr>
  </w:style>
  <w:style w:type="paragraph" w:styleId="Salutation">
    <w:name w:val="Salutation"/>
    <w:basedOn w:val="Normal"/>
    <w:next w:val="BodyText"/>
    <w:link w:val="SalutationChar"/>
    <w:uiPriority w:val="34"/>
    <w:qFormat/>
    <w:rsid w:val="00BB789B"/>
  </w:style>
  <w:style w:type="character" w:customStyle="1" w:styleId="SalutationChar">
    <w:name w:val="Salutation Char"/>
    <w:basedOn w:val="DefaultParagraphFont"/>
    <w:link w:val="Salutation"/>
    <w:uiPriority w:val="34"/>
    <w:rsid w:val="00BB789B"/>
  </w:style>
  <w:style w:type="paragraph" w:customStyle="1" w:styleId="Spacing20mm">
    <w:name w:val="Spacing 20 mm"/>
    <w:basedOn w:val="Normal"/>
    <w:next w:val="BodyText"/>
    <w:uiPriority w:val="34"/>
    <w:rsid w:val="003A706F"/>
    <w:pPr>
      <w:spacing w:after="0" w:line="1021" w:lineRule="exact"/>
    </w:pPr>
    <w:rPr>
      <w:sz w:val="14"/>
    </w:rPr>
  </w:style>
  <w:style w:type="paragraph" w:customStyle="1" w:styleId="Spacing295mm">
    <w:name w:val="Spacing 29_5 mm"/>
    <w:basedOn w:val="Normal"/>
    <w:next w:val="BodyText"/>
    <w:uiPriority w:val="34"/>
    <w:rsid w:val="003A706F"/>
    <w:pPr>
      <w:spacing w:after="0" w:line="1276" w:lineRule="exact"/>
    </w:pPr>
    <w:rPr>
      <w:sz w:val="14"/>
    </w:rPr>
  </w:style>
  <w:style w:type="paragraph" w:customStyle="1" w:styleId="Spacing4mm">
    <w:name w:val="Spacing 4 mm"/>
    <w:basedOn w:val="Normal"/>
    <w:next w:val="BodyText"/>
    <w:uiPriority w:val="34"/>
    <w:rsid w:val="003A706F"/>
    <w:pPr>
      <w:spacing w:after="0" w:line="170" w:lineRule="exact"/>
    </w:pPr>
    <w:rPr>
      <w:rFonts w:ascii="Arial" w:hAnsi="Arial" w:cs="Arial"/>
      <w:sz w:val="2"/>
    </w:rPr>
  </w:style>
  <w:style w:type="paragraph" w:customStyle="1" w:styleId="Spacing46mm">
    <w:name w:val="Spacing 46 mm"/>
    <w:basedOn w:val="Normal"/>
    <w:next w:val="BodyText"/>
    <w:uiPriority w:val="34"/>
    <w:rsid w:val="003A706F"/>
    <w:pPr>
      <w:spacing w:after="0" w:line="2720" w:lineRule="exact"/>
    </w:pPr>
    <w:rPr>
      <w:rFonts w:ascii="Arial" w:hAnsi="Arial" w:cs="Arial"/>
      <w:sz w:val="14"/>
    </w:rPr>
  </w:style>
  <w:style w:type="paragraph" w:customStyle="1" w:styleId="Spacing465mm">
    <w:name w:val="Spacing 46_5 mm"/>
    <w:basedOn w:val="Normal"/>
    <w:next w:val="BodyText"/>
    <w:uiPriority w:val="34"/>
    <w:rsid w:val="003A706F"/>
    <w:pPr>
      <w:spacing w:after="0" w:line="2637" w:lineRule="exact"/>
    </w:pPr>
    <w:rPr>
      <w:sz w:val="14"/>
    </w:rPr>
  </w:style>
  <w:style w:type="paragraph" w:customStyle="1" w:styleId="Spacing675mm">
    <w:name w:val="Spacing 67_5 mm"/>
    <w:basedOn w:val="Normal"/>
    <w:uiPriority w:val="34"/>
    <w:rsid w:val="003A706F"/>
    <w:pPr>
      <w:spacing w:after="0" w:line="3317" w:lineRule="exact"/>
    </w:pPr>
    <w:rPr>
      <w:sz w:val="14"/>
    </w:rPr>
  </w:style>
  <w:style w:type="paragraph" w:customStyle="1" w:styleId="Spacing7mm">
    <w:name w:val="Spacing 7 mm"/>
    <w:basedOn w:val="Normal"/>
    <w:next w:val="BodyText"/>
    <w:uiPriority w:val="34"/>
    <w:rsid w:val="003A706F"/>
    <w:pPr>
      <w:spacing w:after="0" w:line="397" w:lineRule="exact"/>
    </w:pPr>
    <w:rPr>
      <w:sz w:val="14"/>
    </w:rPr>
  </w:style>
  <w:style w:type="paragraph" w:customStyle="1" w:styleId="Headline1">
    <w:name w:val="Headline 1"/>
    <w:basedOn w:val="BodyText"/>
    <w:next w:val="BodyText"/>
    <w:uiPriority w:val="34"/>
    <w:qFormat/>
    <w:rsid w:val="00FB5755"/>
    <w:pPr>
      <w:keepNext/>
      <w:spacing w:after="40" w:line="240" w:lineRule="auto"/>
    </w:pPr>
    <w:rPr>
      <w:b/>
      <w:i/>
      <w:sz w:val="32"/>
    </w:rPr>
  </w:style>
  <w:style w:type="paragraph" w:customStyle="1" w:styleId="Headline2">
    <w:name w:val="Headline 2"/>
    <w:basedOn w:val="BodyText"/>
    <w:next w:val="BodyText"/>
    <w:uiPriority w:val="34"/>
    <w:qFormat/>
    <w:rsid w:val="00FB5755"/>
    <w:pPr>
      <w:keepNext/>
      <w:spacing w:after="40" w:line="240" w:lineRule="auto"/>
    </w:pPr>
    <w:rPr>
      <w:b/>
      <w:i/>
      <w:sz w:val="24"/>
    </w:rPr>
  </w:style>
  <w:style w:type="paragraph" w:customStyle="1" w:styleId="Headline3">
    <w:name w:val="Headline 3"/>
    <w:basedOn w:val="BodyText"/>
    <w:next w:val="BodyText"/>
    <w:uiPriority w:val="34"/>
    <w:qFormat/>
    <w:rsid w:val="00FB5755"/>
    <w:pPr>
      <w:keepNext/>
      <w:spacing w:after="40" w:line="240" w:lineRule="auto"/>
    </w:pPr>
    <w:rPr>
      <w:i/>
      <w:sz w:val="24"/>
    </w:rPr>
  </w:style>
  <w:style w:type="paragraph" w:customStyle="1" w:styleId="Headline4">
    <w:name w:val="Headline 4"/>
    <w:basedOn w:val="BodyText"/>
    <w:next w:val="BodyText"/>
    <w:uiPriority w:val="34"/>
    <w:qFormat/>
    <w:rsid w:val="00FB5755"/>
    <w:pPr>
      <w:keepNext/>
      <w:spacing w:after="40" w:line="240" w:lineRule="auto"/>
    </w:pPr>
    <w:rPr>
      <w:i/>
    </w:rPr>
  </w:style>
  <w:style w:type="paragraph" w:customStyle="1" w:styleId="Headline5">
    <w:name w:val="Headline 5"/>
    <w:basedOn w:val="BodyText"/>
    <w:next w:val="BodyText"/>
    <w:uiPriority w:val="34"/>
    <w:qFormat/>
    <w:rsid w:val="00FB5755"/>
    <w:pPr>
      <w:keepNext/>
      <w:spacing w:after="40" w:line="240" w:lineRule="auto"/>
    </w:pPr>
  </w:style>
  <w:style w:type="paragraph" w:customStyle="1" w:styleId="InvisibleComment">
    <w:name w:val="Invisible Comment"/>
    <w:uiPriority w:val="99"/>
    <w:rsid w:val="00FB5755"/>
    <w:pPr>
      <w:numPr>
        <w:numId w:val="3"/>
      </w:numPr>
      <w:spacing w:after="0" w:line="240" w:lineRule="auto"/>
    </w:pPr>
    <w:rPr>
      <w:rFonts w:ascii="Arial" w:eastAsia="Times New Roman" w:hAnsi="Arial" w:cs="Times New Roman"/>
      <w:i/>
      <w:color w:val="FF0000"/>
      <w:sz w:val="16"/>
      <w:szCs w:val="24"/>
      <w:lang w:eastAsia="nl-NL"/>
    </w:rPr>
  </w:style>
  <w:style w:type="paragraph" w:customStyle="1" w:styleId="Disclaimer">
    <w:name w:val="Disclaimer"/>
    <w:basedOn w:val="Normal"/>
    <w:uiPriority w:val="34"/>
    <w:rsid w:val="00FE3FB6"/>
    <w:pPr>
      <w:spacing w:before="40" w:after="80" w:line="140" w:lineRule="exact"/>
    </w:pPr>
    <w:rPr>
      <w:rFonts w:ascii="Arial" w:hAnsi="Arial"/>
      <w:sz w:val="12"/>
    </w:rPr>
  </w:style>
  <w:style w:type="paragraph" w:customStyle="1" w:styleId="AddresseeCompanyHeader">
    <w:name w:val="AddresseeCompanyHeader"/>
    <w:basedOn w:val="Normal"/>
    <w:uiPriority w:val="34"/>
    <w:rsid w:val="00324288"/>
    <w:pPr>
      <w:spacing w:after="0" w:line="200" w:lineRule="exact"/>
    </w:pPr>
    <w:rPr>
      <w:i/>
      <w:sz w:val="18"/>
    </w:rPr>
  </w:style>
  <w:style w:type="character" w:styleId="Emphasis">
    <w:name w:val="Emphasis"/>
    <w:basedOn w:val="DefaultParagraphFont"/>
    <w:hidden/>
    <w:uiPriority w:val="20"/>
    <w:rsid w:val="00AB1C48"/>
    <w:rPr>
      <w:i/>
      <w:iCs/>
    </w:rPr>
  </w:style>
  <w:style w:type="paragraph" w:customStyle="1" w:styleId="NoteBody">
    <w:name w:val="Note Body"/>
    <w:basedOn w:val="Normal"/>
    <w:link w:val="NoteBodyChar"/>
    <w:uiPriority w:val="34"/>
    <w:rsid w:val="00931EF6"/>
    <w:pPr>
      <w:pBdr>
        <w:top w:val="single" w:sz="8" w:space="4" w:color="auto"/>
        <w:left w:val="single" w:sz="8" w:space="4" w:color="auto"/>
        <w:bottom w:val="single" w:sz="8" w:space="4" w:color="auto"/>
        <w:right w:val="single" w:sz="8" w:space="4" w:color="auto"/>
      </w:pBdr>
      <w:shd w:val="solid" w:color="DBE5F1" w:fill="auto"/>
      <w:spacing w:before="120" w:after="0" w:line="240" w:lineRule="auto"/>
      <w:ind w:left="102" w:right="102"/>
    </w:pPr>
    <w:rPr>
      <w:rFonts w:eastAsia="Times New Roman" w:cs="Arial"/>
      <w:szCs w:val="16"/>
      <w:lang w:eastAsia="nl-NL"/>
    </w:rPr>
  </w:style>
  <w:style w:type="paragraph" w:customStyle="1" w:styleId="NoteTitle">
    <w:name w:val="Note Title"/>
    <w:basedOn w:val="Normal"/>
    <w:next w:val="NoteBody"/>
    <w:uiPriority w:val="34"/>
    <w:rsid w:val="00931EF6"/>
    <w:pPr>
      <w:keepNext/>
      <w:keepLines/>
      <w:pBdr>
        <w:top w:val="single" w:sz="8" w:space="4" w:color="auto"/>
        <w:left w:val="single" w:sz="8" w:space="4" w:color="auto"/>
        <w:bottom w:val="single" w:sz="8" w:space="4" w:color="auto"/>
        <w:right w:val="single" w:sz="8" w:space="4" w:color="auto"/>
      </w:pBdr>
      <w:shd w:val="solid" w:color="DBE5F1" w:fill="auto"/>
      <w:spacing w:before="120" w:after="0" w:line="240" w:lineRule="auto"/>
      <w:ind w:left="102" w:right="102"/>
    </w:pPr>
    <w:rPr>
      <w:rFonts w:eastAsia="Times New Roman" w:cs="Arial"/>
      <w:b/>
      <w:i/>
      <w:szCs w:val="16"/>
      <w:lang w:eastAsia="nl-NL"/>
    </w:rPr>
  </w:style>
  <w:style w:type="paragraph" w:styleId="TOC4">
    <w:name w:val="toc 4"/>
    <w:basedOn w:val="Normal"/>
    <w:next w:val="Normal"/>
    <w:uiPriority w:val="39"/>
    <w:unhideWhenUsed/>
    <w:rsid w:val="003A706F"/>
    <w:pPr>
      <w:tabs>
        <w:tab w:val="right" w:pos="9071"/>
      </w:tabs>
      <w:spacing w:before="120" w:after="120"/>
      <w:ind w:left="1417" w:hanging="850"/>
    </w:pPr>
    <w:rPr>
      <w:noProof/>
    </w:rPr>
  </w:style>
  <w:style w:type="paragraph" w:styleId="TOC5">
    <w:name w:val="toc 5"/>
    <w:basedOn w:val="Normal"/>
    <w:next w:val="Normal"/>
    <w:uiPriority w:val="39"/>
    <w:unhideWhenUsed/>
    <w:rsid w:val="003A706F"/>
    <w:pPr>
      <w:tabs>
        <w:tab w:val="right" w:pos="9071"/>
      </w:tabs>
      <w:spacing w:before="120" w:after="120"/>
      <w:ind w:left="1843" w:hanging="992"/>
    </w:pPr>
    <w:rPr>
      <w:noProof/>
    </w:rPr>
  </w:style>
  <w:style w:type="paragraph" w:customStyle="1" w:styleId="Spacing1mm">
    <w:name w:val="Spacing 1 mm"/>
    <w:basedOn w:val="Normal"/>
    <w:next w:val="BodyText"/>
    <w:uiPriority w:val="34"/>
    <w:rsid w:val="003A706F"/>
    <w:pPr>
      <w:spacing w:after="0" w:line="57" w:lineRule="exact"/>
    </w:pPr>
    <w:rPr>
      <w:rFonts w:ascii="Arial" w:hAnsi="Arial" w:cs="Arial"/>
      <w:sz w:val="2"/>
    </w:rPr>
  </w:style>
  <w:style w:type="paragraph" w:customStyle="1" w:styleId="LocalLegalNameHeader">
    <w:name w:val="LocalLegalName_Header"/>
    <w:basedOn w:val="Normal"/>
    <w:next w:val="LocalLegalAddress"/>
    <w:uiPriority w:val="34"/>
    <w:rsid w:val="00931EF6"/>
    <w:pPr>
      <w:pBdr>
        <w:top w:val="dotted" w:sz="8" w:space="10" w:color="auto"/>
        <w:left w:val="dotted" w:sz="8" w:space="10" w:color="auto"/>
      </w:pBdr>
      <w:spacing w:after="0" w:line="240" w:lineRule="auto"/>
    </w:pPr>
    <w:rPr>
      <w:rFonts w:ascii="Arial" w:hAnsi="Arial" w:cs="Arial"/>
      <w:sz w:val="2"/>
    </w:rPr>
  </w:style>
  <w:style w:type="paragraph" w:customStyle="1" w:styleId="LocalLegalContact">
    <w:name w:val="LocalLegalContact"/>
    <w:basedOn w:val="BodyText"/>
    <w:next w:val="Spacing4mm"/>
    <w:uiPriority w:val="34"/>
    <w:rsid w:val="00BB789B"/>
    <w:pPr>
      <w:spacing w:after="0" w:line="220" w:lineRule="atLeast"/>
    </w:pPr>
    <w:rPr>
      <w:i/>
      <w:sz w:val="18"/>
    </w:rPr>
  </w:style>
  <w:style w:type="paragraph" w:customStyle="1" w:styleId="Warning">
    <w:name w:val="Warning"/>
    <w:basedOn w:val="Normal"/>
    <w:uiPriority w:val="34"/>
    <w:rsid w:val="003A706F"/>
    <w:pPr>
      <w:shd w:val="solid" w:color="F2F2F2" w:themeColor="background2" w:themeShade="F2" w:fill="auto"/>
    </w:pPr>
    <w:rPr>
      <w:b/>
      <w:i/>
      <w:color w:val="FF0000"/>
      <w:sz w:val="36"/>
    </w:rPr>
  </w:style>
  <w:style w:type="paragraph" w:customStyle="1" w:styleId="PlaceDate">
    <w:name w:val="PlaceDate"/>
    <w:basedOn w:val="Normal"/>
    <w:next w:val="AuditFirm"/>
    <w:uiPriority w:val="34"/>
    <w:rsid w:val="002C0F83"/>
    <w:pPr>
      <w:spacing w:before="240" w:after="0"/>
    </w:pPr>
  </w:style>
  <w:style w:type="paragraph" w:customStyle="1" w:styleId="ContactDetail">
    <w:name w:val="ContactDetail"/>
    <w:basedOn w:val="Normal"/>
    <w:uiPriority w:val="34"/>
    <w:rsid w:val="00E44D87"/>
    <w:pPr>
      <w:spacing w:after="0" w:line="290" w:lineRule="atLeast"/>
    </w:pPr>
    <w:rPr>
      <w:rFonts w:ascii="Arial" w:hAnsi="Arial"/>
      <w:sz w:val="22"/>
      <w:szCs w:val="22"/>
    </w:rPr>
  </w:style>
  <w:style w:type="paragraph" w:customStyle="1" w:styleId="ContactLine">
    <w:name w:val="ContactLine"/>
    <w:basedOn w:val="Normal"/>
    <w:uiPriority w:val="34"/>
    <w:rsid w:val="00955343"/>
    <w:pPr>
      <w:pBdr>
        <w:bottom w:val="single" w:sz="4" w:space="0" w:color="auto"/>
      </w:pBdr>
      <w:ind w:left="28" w:right="28"/>
    </w:pPr>
    <w:rPr>
      <w:rFonts w:ascii="Arial" w:hAnsi="Arial"/>
      <w:sz w:val="2"/>
    </w:rPr>
  </w:style>
  <w:style w:type="paragraph" w:customStyle="1" w:styleId="LocalLegalContinue">
    <w:name w:val="LocalLegalContinue"/>
    <w:basedOn w:val="BodyText"/>
    <w:next w:val="Spacing4mm"/>
    <w:uiPriority w:val="34"/>
    <w:rsid w:val="00BB789B"/>
    <w:pPr>
      <w:spacing w:after="0" w:line="220" w:lineRule="atLeast"/>
    </w:pPr>
    <w:rPr>
      <w:i/>
      <w:sz w:val="18"/>
    </w:rPr>
  </w:style>
  <w:style w:type="paragraph" w:customStyle="1" w:styleId="Spacing50mm">
    <w:name w:val="Spacing 50 mm"/>
    <w:basedOn w:val="Normal"/>
    <w:uiPriority w:val="34"/>
    <w:rsid w:val="00F94F12"/>
    <w:pPr>
      <w:spacing w:after="0" w:line="2890" w:lineRule="exact"/>
    </w:pPr>
    <w:rPr>
      <w:sz w:val="14"/>
    </w:rPr>
  </w:style>
  <w:style w:type="paragraph" w:customStyle="1" w:styleId="OutlinedLogo">
    <w:name w:val="OutlinedLogo"/>
    <w:basedOn w:val="Normal"/>
    <w:uiPriority w:val="34"/>
    <w:rsid w:val="00203ED4"/>
    <w:pPr>
      <w:spacing w:before="600" w:after="0"/>
      <w:ind w:left="-975"/>
    </w:pPr>
    <w:rPr>
      <w:rFonts w:ascii="PwC_Logo 3.0" w:hAnsi="PwC_Logo 3.0"/>
      <w:sz w:val="32"/>
    </w:rPr>
  </w:style>
  <w:style w:type="paragraph" w:customStyle="1" w:styleId="AppendixNumbering">
    <w:name w:val="Appendix Numbering"/>
    <w:basedOn w:val="Normal"/>
    <w:uiPriority w:val="34"/>
    <w:qFormat/>
    <w:rsid w:val="00BB789B"/>
    <w:pPr>
      <w:numPr>
        <w:numId w:val="12"/>
      </w:numPr>
      <w:spacing w:after="0"/>
    </w:pPr>
  </w:style>
  <w:style w:type="paragraph" w:customStyle="1" w:styleId="ContactDetailMemo">
    <w:name w:val="ContactDetailMemo"/>
    <w:basedOn w:val="Normal"/>
    <w:uiPriority w:val="34"/>
    <w:rsid w:val="00E44D87"/>
    <w:pPr>
      <w:spacing w:line="290" w:lineRule="atLeast"/>
      <w:contextualSpacing/>
    </w:pPr>
  </w:style>
  <w:style w:type="character" w:customStyle="1" w:styleId="NoteBody-i">
    <w:name w:val="NoteBody-i"/>
    <w:basedOn w:val="NoteBodyChar"/>
    <w:uiPriority w:val="1"/>
    <w:rsid w:val="00BD3A9F"/>
    <w:rPr>
      <w:rFonts w:eastAsiaTheme="minorHAnsi" w:cs="Arial"/>
      <w:i/>
      <w:szCs w:val="16"/>
      <w:shd w:val="solid" w:color="DBE5F1" w:fill="auto"/>
      <w:lang w:eastAsia="nl-NL"/>
    </w:rPr>
  </w:style>
  <w:style w:type="character" w:customStyle="1" w:styleId="NoteBodyChar">
    <w:name w:val="Note Body Char"/>
    <w:basedOn w:val="DefaultParagraphFont"/>
    <w:link w:val="NoteBody"/>
    <w:uiPriority w:val="34"/>
    <w:rsid w:val="00931EF6"/>
    <w:rPr>
      <w:rFonts w:eastAsia="Times New Roman" w:cs="Arial"/>
      <w:szCs w:val="16"/>
      <w:shd w:val="solid" w:color="DBE5F1" w:fill="auto"/>
      <w:lang w:eastAsia="nl-NL"/>
    </w:rPr>
  </w:style>
  <w:style w:type="character" w:customStyle="1" w:styleId="NoteBody-b">
    <w:name w:val="NoteBody-b"/>
    <w:basedOn w:val="NoteBodyChar"/>
    <w:uiPriority w:val="1"/>
    <w:rsid w:val="007C10CA"/>
    <w:rPr>
      <w:rFonts w:eastAsia="Times New Roman" w:cs="Arial"/>
      <w:b/>
      <w:szCs w:val="16"/>
      <w:shd w:val="solid" w:color="DBE5F1" w:fill="auto"/>
      <w:lang w:eastAsia="nl-NL"/>
    </w:rPr>
  </w:style>
  <w:style w:type="character" w:customStyle="1" w:styleId="NoteBody-a">
    <w:name w:val="NoteBody-a"/>
    <w:basedOn w:val="NoteBodyChar"/>
    <w:uiPriority w:val="1"/>
    <w:rsid w:val="00BD3A9F"/>
    <w:rPr>
      <w:rFonts w:eastAsiaTheme="minorHAnsi" w:cs="Arial"/>
      <w:szCs w:val="16"/>
      <w:u w:val="single"/>
      <w:shd w:val="solid" w:color="DBE5F1" w:fill="auto"/>
      <w:lang w:eastAsia="nl-NL"/>
    </w:rPr>
  </w:style>
  <w:style w:type="character" w:customStyle="1" w:styleId="Italics">
    <w:name w:val="Italics"/>
    <w:uiPriority w:val="1"/>
    <w:rsid w:val="00C1387D"/>
    <w:rPr>
      <w:b w:val="0"/>
      <w:i/>
      <w:smallCaps w:val="0"/>
      <w:color w:val="auto"/>
      <w:spacing w:val="0"/>
      <w:kern w:val="0"/>
      <w:u w:val="none"/>
    </w:rPr>
  </w:style>
  <w:style w:type="character" w:customStyle="1" w:styleId="Bold">
    <w:name w:val="Bold"/>
    <w:uiPriority w:val="1"/>
    <w:rsid w:val="00CD5CE3"/>
    <w:rPr>
      <w:b/>
      <w:i w:val="0"/>
      <w:smallCaps w:val="0"/>
      <w:color w:val="auto"/>
      <w:spacing w:val="0"/>
      <w:kern w:val="0"/>
      <w:u w:val="none"/>
    </w:rPr>
  </w:style>
  <w:style w:type="character" w:customStyle="1" w:styleId="Underline">
    <w:name w:val="Underline"/>
    <w:uiPriority w:val="1"/>
    <w:rsid w:val="00C1387D"/>
    <w:rPr>
      <w:b w:val="0"/>
      <w:i w:val="0"/>
      <w:smallCaps w:val="0"/>
      <w:color w:val="auto"/>
      <w:spacing w:val="0"/>
      <w:kern w:val="0"/>
      <w:u w:val="single"/>
    </w:rPr>
  </w:style>
  <w:style w:type="character" w:customStyle="1" w:styleId="BoldItalics">
    <w:name w:val="Bold Italics"/>
    <w:uiPriority w:val="1"/>
    <w:rsid w:val="00C1387D"/>
    <w:rPr>
      <w:b/>
      <w:i/>
      <w:smallCaps w:val="0"/>
      <w:color w:val="auto"/>
      <w:spacing w:val="0"/>
      <w:kern w:val="0"/>
      <w:u w:val="none"/>
    </w:rPr>
  </w:style>
  <w:style w:type="character" w:customStyle="1" w:styleId="BoldUnderline">
    <w:name w:val="Bold Underline"/>
    <w:uiPriority w:val="1"/>
    <w:rsid w:val="00C1387D"/>
    <w:rPr>
      <w:b/>
      <w:i w:val="0"/>
      <w:smallCaps w:val="0"/>
      <w:color w:val="auto"/>
      <w:spacing w:val="0"/>
      <w:kern w:val="0"/>
      <w:u w:val="single"/>
    </w:rPr>
  </w:style>
  <w:style w:type="character" w:customStyle="1" w:styleId="BoldItalicsUnderline">
    <w:name w:val="Bold Italics Underline"/>
    <w:uiPriority w:val="1"/>
    <w:rsid w:val="00C1387D"/>
    <w:rPr>
      <w:b/>
      <w:i/>
      <w:smallCaps w:val="0"/>
      <w:color w:val="auto"/>
      <w:spacing w:val="0"/>
      <w:kern w:val="0"/>
      <w:u w:val="single"/>
    </w:rPr>
  </w:style>
  <w:style w:type="character" w:customStyle="1" w:styleId="ItalicsUnderline">
    <w:name w:val="Italics Underline"/>
    <w:uiPriority w:val="1"/>
    <w:rsid w:val="00C1387D"/>
    <w:rPr>
      <w:b w:val="0"/>
      <w:i/>
      <w:smallCaps w:val="0"/>
      <w:color w:val="auto"/>
      <w:spacing w:val="0"/>
      <w:kern w:val="0"/>
      <w:u w:val="single"/>
    </w:rPr>
  </w:style>
  <w:style w:type="paragraph" w:customStyle="1" w:styleId="SummaryHeading">
    <w:name w:val="Summary Heading"/>
    <w:basedOn w:val="Normal"/>
    <w:uiPriority w:val="34"/>
    <w:rsid w:val="008B2D80"/>
    <w:pPr>
      <w:pBdr>
        <w:bottom w:val="single" w:sz="8" w:space="12" w:color="auto"/>
      </w:pBdr>
      <w:jc w:val="center"/>
    </w:pPr>
    <w:rPr>
      <w:b/>
      <w:i/>
      <w:sz w:val="28"/>
    </w:rPr>
  </w:style>
  <w:style w:type="paragraph" w:customStyle="1" w:styleId="SummaryTopic">
    <w:name w:val="Summary Topic"/>
    <w:basedOn w:val="Normal"/>
    <w:uiPriority w:val="34"/>
    <w:rsid w:val="008B2D80"/>
    <w:pPr>
      <w:spacing w:before="480"/>
    </w:pPr>
    <w:rPr>
      <w:b/>
      <w:i/>
      <w:sz w:val="24"/>
    </w:rPr>
  </w:style>
  <w:style w:type="paragraph" w:customStyle="1" w:styleId="SummaryQuestion">
    <w:name w:val="Summary Question"/>
    <w:basedOn w:val="BodyText"/>
    <w:uiPriority w:val="34"/>
    <w:rsid w:val="008B2D80"/>
    <w:pPr>
      <w:spacing w:after="120"/>
    </w:pPr>
  </w:style>
  <w:style w:type="paragraph" w:customStyle="1" w:styleId="SummaryAnswer">
    <w:name w:val="Summary Answer"/>
    <w:basedOn w:val="BodyText"/>
    <w:uiPriority w:val="34"/>
    <w:rsid w:val="008B2D80"/>
    <w:pPr>
      <w:ind w:left="567"/>
    </w:pPr>
    <w:rPr>
      <w:i/>
    </w:rPr>
  </w:style>
  <w:style w:type="paragraph" w:customStyle="1" w:styleId="SmartModuleExternalsSectionHeading">
    <w:name w:val="SmartModule Externals Section Heading"/>
    <w:basedOn w:val="Normal"/>
    <w:uiPriority w:val="34"/>
    <w:rsid w:val="008B2D80"/>
    <w:rPr>
      <w:b/>
      <w:i/>
      <w:color w:val="0070C0"/>
      <w:sz w:val="36"/>
    </w:rPr>
  </w:style>
  <w:style w:type="character" w:customStyle="1" w:styleId="Subscript">
    <w:name w:val="Subscript"/>
    <w:uiPriority w:val="1"/>
    <w:rsid w:val="008B2D80"/>
    <w:rPr>
      <w:vertAlign w:val="subscript"/>
    </w:rPr>
  </w:style>
  <w:style w:type="character" w:customStyle="1" w:styleId="Superscript">
    <w:name w:val="Superscript"/>
    <w:uiPriority w:val="1"/>
    <w:rsid w:val="008B2D80"/>
    <w:rPr>
      <w:vertAlign w:val="superscript"/>
    </w:rPr>
  </w:style>
  <w:style w:type="character" w:styleId="FollowedHyperlink">
    <w:name w:val="FollowedHyperlink"/>
    <w:basedOn w:val="DefaultParagraphFont"/>
    <w:hidden/>
    <w:uiPriority w:val="99"/>
    <w:rsid w:val="002E1B61"/>
    <w:rPr>
      <w:color w:val="800080"/>
      <w:u w:val="single"/>
    </w:rPr>
  </w:style>
  <w:style w:type="paragraph" w:styleId="Index1">
    <w:name w:val="index 1"/>
    <w:basedOn w:val="BodyText"/>
    <w:uiPriority w:val="99"/>
    <w:unhideWhenUsed/>
    <w:rsid w:val="00BB789B"/>
    <w:pPr>
      <w:spacing w:after="0" w:line="240" w:lineRule="auto"/>
      <w:ind w:left="198" w:hanging="198"/>
    </w:pPr>
  </w:style>
  <w:style w:type="paragraph" w:styleId="Index2">
    <w:name w:val="index 2"/>
    <w:basedOn w:val="BodyText"/>
    <w:uiPriority w:val="99"/>
    <w:unhideWhenUsed/>
    <w:rsid w:val="00BB789B"/>
    <w:pPr>
      <w:spacing w:after="0" w:line="240" w:lineRule="auto"/>
      <w:ind w:left="397" w:hanging="198"/>
    </w:pPr>
  </w:style>
  <w:style w:type="paragraph" w:styleId="Index3">
    <w:name w:val="index 3"/>
    <w:basedOn w:val="BodyText"/>
    <w:uiPriority w:val="99"/>
    <w:unhideWhenUsed/>
    <w:rsid w:val="00BB789B"/>
    <w:pPr>
      <w:spacing w:after="0" w:line="240" w:lineRule="auto"/>
      <w:ind w:left="601" w:hanging="198"/>
    </w:pPr>
  </w:style>
  <w:style w:type="paragraph" w:styleId="Index4">
    <w:name w:val="index 4"/>
    <w:basedOn w:val="BodyText"/>
    <w:uiPriority w:val="99"/>
    <w:unhideWhenUsed/>
    <w:rsid w:val="00BB789B"/>
    <w:pPr>
      <w:spacing w:after="0" w:line="240" w:lineRule="auto"/>
      <w:ind w:left="799" w:hanging="198"/>
    </w:pPr>
  </w:style>
  <w:style w:type="paragraph" w:styleId="Index5">
    <w:name w:val="index 5"/>
    <w:basedOn w:val="BodyText"/>
    <w:uiPriority w:val="99"/>
    <w:unhideWhenUsed/>
    <w:rsid w:val="00BB789B"/>
    <w:pPr>
      <w:spacing w:after="0" w:line="240" w:lineRule="auto"/>
      <w:ind w:left="998" w:hanging="198"/>
    </w:pPr>
  </w:style>
  <w:style w:type="paragraph" w:styleId="Index6">
    <w:name w:val="index 6"/>
    <w:basedOn w:val="BodyText"/>
    <w:uiPriority w:val="99"/>
    <w:unhideWhenUsed/>
    <w:rsid w:val="00BB789B"/>
    <w:pPr>
      <w:spacing w:after="0" w:line="240" w:lineRule="auto"/>
      <w:ind w:left="1196" w:hanging="198"/>
    </w:pPr>
  </w:style>
  <w:style w:type="paragraph" w:styleId="Index7">
    <w:name w:val="index 7"/>
    <w:basedOn w:val="BodyText"/>
    <w:uiPriority w:val="99"/>
    <w:unhideWhenUsed/>
    <w:rsid w:val="00BB789B"/>
    <w:pPr>
      <w:spacing w:after="0" w:line="240" w:lineRule="auto"/>
      <w:ind w:left="1400" w:hanging="198"/>
    </w:pPr>
  </w:style>
  <w:style w:type="paragraph" w:styleId="Index8">
    <w:name w:val="index 8"/>
    <w:basedOn w:val="BodyText"/>
    <w:uiPriority w:val="99"/>
    <w:unhideWhenUsed/>
    <w:rsid w:val="00BB789B"/>
    <w:pPr>
      <w:spacing w:after="0" w:line="240" w:lineRule="auto"/>
      <w:ind w:left="1599" w:hanging="198"/>
    </w:pPr>
  </w:style>
  <w:style w:type="paragraph" w:styleId="Index9">
    <w:name w:val="index 9"/>
    <w:basedOn w:val="BodyText"/>
    <w:uiPriority w:val="99"/>
    <w:unhideWhenUsed/>
    <w:rsid w:val="00BB789B"/>
    <w:pPr>
      <w:spacing w:after="0" w:line="240" w:lineRule="auto"/>
      <w:ind w:left="1797" w:hanging="198"/>
    </w:pPr>
  </w:style>
  <w:style w:type="paragraph" w:styleId="TOC6">
    <w:name w:val="toc 6"/>
    <w:basedOn w:val="Normal"/>
    <w:next w:val="Normal"/>
    <w:uiPriority w:val="39"/>
    <w:unhideWhenUsed/>
    <w:rsid w:val="003A706F"/>
    <w:pPr>
      <w:tabs>
        <w:tab w:val="right" w:pos="9071"/>
      </w:tabs>
      <w:spacing w:before="120" w:after="120"/>
      <w:ind w:left="2268" w:hanging="1134"/>
    </w:pPr>
    <w:rPr>
      <w:noProof/>
    </w:rPr>
  </w:style>
  <w:style w:type="paragraph" w:styleId="TOC7">
    <w:name w:val="toc 7"/>
    <w:basedOn w:val="Normal"/>
    <w:next w:val="Normal"/>
    <w:uiPriority w:val="39"/>
    <w:unhideWhenUsed/>
    <w:rsid w:val="003A706F"/>
    <w:pPr>
      <w:tabs>
        <w:tab w:val="right" w:pos="9071"/>
      </w:tabs>
      <w:spacing w:before="120" w:after="120"/>
      <w:ind w:left="2693" w:hanging="1276"/>
    </w:pPr>
    <w:rPr>
      <w:noProof/>
    </w:rPr>
  </w:style>
  <w:style w:type="paragraph" w:styleId="TOC8">
    <w:name w:val="toc 8"/>
    <w:basedOn w:val="Normal"/>
    <w:next w:val="Normal"/>
    <w:uiPriority w:val="39"/>
    <w:unhideWhenUsed/>
    <w:rsid w:val="003A706F"/>
    <w:pPr>
      <w:tabs>
        <w:tab w:val="right" w:pos="9071"/>
      </w:tabs>
      <w:spacing w:before="120" w:after="120"/>
      <w:ind w:left="3118" w:hanging="1417"/>
    </w:pPr>
    <w:rPr>
      <w:noProof/>
    </w:rPr>
  </w:style>
  <w:style w:type="paragraph" w:styleId="TOC9">
    <w:name w:val="toc 9"/>
    <w:basedOn w:val="Normal"/>
    <w:next w:val="Normal"/>
    <w:uiPriority w:val="39"/>
    <w:unhideWhenUsed/>
    <w:rsid w:val="003A706F"/>
    <w:pPr>
      <w:tabs>
        <w:tab w:val="right" w:pos="9071"/>
      </w:tabs>
      <w:spacing w:before="120" w:after="120"/>
      <w:ind w:left="3543" w:hanging="1559"/>
    </w:pPr>
    <w:rPr>
      <w:noProof/>
    </w:rPr>
  </w:style>
  <w:style w:type="paragraph" w:customStyle="1" w:styleId="Appendix6">
    <w:name w:val="Appendix 6"/>
    <w:basedOn w:val="BodyText"/>
    <w:next w:val="BodyText"/>
    <w:uiPriority w:val="34"/>
    <w:rsid w:val="00BB789B"/>
    <w:pPr>
      <w:keepNext/>
      <w:numPr>
        <w:ilvl w:val="5"/>
        <w:numId w:val="10"/>
      </w:numPr>
      <w:spacing w:after="40" w:line="240" w:lineRule="auto"/>
      <w:outlineLvl w:val="5"/>
    </w:pPr>
  </w:style>
  <w:style w:type="paragraph" w:customStyle="1" w:styleId="Appendix7">
    <w:name w:val="Appendix 7"/>
    <w:basedOn w:val="BodyText"/>
    <w:next w:val="BodyText"/>
    <w:uiPriority w:val="34"/>
    <w:rsid w:val="00BB789B"/>
    <w:pPr>
      <w:keepNext/>
      <w:numPr>
        <w:ilvl w:val="6"/>
        <w:numId w:val="10"/>
      </w:numPr>
      <w:spacing w:after="40" w:line="240" w:lineRule="auto"/>
      <w:outlineLvl w:val="6"/>
    </w:pPr>
  </w:style>
  <w:style w:type="paragraph" w:customStyle="1" w:styleId="Appendix8">
    <w:name w:val="Appendix 8"/>
    <w:basedOn w:val="BodyText"/>
    <w:next w:val="BodyText"/>
    <w:uiPriority w:val="34"/>
    <w:rsid w:val="00BB789B"/>
    <w:pPr>
      <w:keepNext/>
      <w:numPr>
        <w:ilvl w:val="7"/>
        <w:numId w:val="10"/>
      </w:numPr>
      <w:spacing w:after="40" w:line="240" w:lineRule="auto"/>
      <w:outlineLvl w:val="7"/>
    </w:pPr>
  </w:style>
  <w:style w:type="paragraph" w:customStyle="1" w:styleId="Appendix9">
    <w:name w:val="Appendix 9"/>
    <w:basedOn w:val="BodyText"/>
    <w:next w:val="BodyText"/>
    <w:uiPriority w:val="34"/>
    <w:rsid w:val="00BB789B"/>
    <w:pPr>
      <w:keepNext/>
      <w:numPr>
        <w:ilvl w:val="8"/>
        <w:numId w:val="10"/>
      </w:numPr>
      <w:spacing w:after="40" w:line="240" w:lineRule="auto"/>
      <w:outlineLvl w:val="8"/>
    </w:pPr>
  </w:style>
  <w:style w:type="paragraph" w:styleId="TOAHeading">
    <w:name w:val="toa heading"/>
    <w:basedOn w:val="BodyText"/>
    <w:next w:val="BodyText"/>
    <w:uiPriority w:val="99"/>
    <w:unhideWhenUsed/>
    <w:qFormat/>
    <w:rsid w:val="00BB789B"/>
    <w:pPr>
      <w:keepNext/>
      <w:spacing w:before="480" w:after="40" w:line="240" w:lineRule="auto"/>
    </w:pPr>
    <w:rPr>
      <w:rFonts w:eastAsiaTheme="majorEastAsia" w:cstheme="majorBidi"/>
      <w:b/>
      <w:bCs/>
      <w:i/>
      <w:sz w:val="32"/>
      <w:szCs w:val="24"/>
    </w:rPr>
  </w:style>
  <w:style w:type="paragraph" w:styleId="Date">
    <w:name w:val="Date"/>
    <w:basedOn w:val="Normal"/>
    <w:next w:val="Normal"/>
    <w:link w:val="DateChar"/>
    <w:hidden/>
    <w:uiPriority w:val="99"/>
    <w:unhideWhenUsed/>
    <w:rsid w:val="005D1275"/>
  </w:style>
  <w:style w:type="character" w:customStyle="1" w:styleId="DateChar">
    <w:name w:val="Date Char"/>
    <w:basedOn w:val="DefaultParagraphFont"/>
    <w:link w:val="Date"/>
    <w:uiPriority w:val="99"/>
    <w:rsid w:val="005D1275"/>
  </w:style>
  <w:style w:type="paragraph" w:styleId="CommentText">
    <w:name w:val="annotation text"/>
    <w:basedOn w:val="Normal"/>
    <w:link w:val="CommentTextChar"/>
    <w:hidden/>
    <w:uiPriority w:val="99"/>
    <w:unhideWhenUsed/>
    <w:rsid w:val="005D1275"/>
    <w:pPr>
      <w:spacing w:line="240" w:lineRule="auto"/>
    </w:pPr>
  </w:style>
  <w:style w:type="character" w:customStyle="1" w:styleId="CommentTextChar">
    <w:name w:val="Comment Text Char"/>
    <w:basedOn w:val="DefaultParagraphFont"/>
    <w:link w:val="CommentText"/>
    <w:uiPriority w:val="99"/>
    <w:rsid w:val="005D1275"/>
  </w:style>
  <w:style w:type="paragraph" w:styleId="CommentSubject">
    <w:name w:val="annotation subject"/>
    <w:basedOn w:val="CommentText"/>
    <w:next w:val="CommentText"/>
    <w:link w:val="CommentSubjectChar"/>
    <w:uiPriority w:val="99"/>
    <w:unhideWhenUsed/>
    <w:rsid w:val="005D1275"/>
    <w:rPr>
      <w:b/>
      <w:bCs/>
    </w:rPr>
  </w:style>
  <w:style w:type="character" w:customStyle="1" w:styleId="CommentSubjectChar">
    <w:name w:val="Comment Subject Char"/>
    <w:basedOn w:val="CommentTextChar"/>
    <w:link w:val="CommentSubject"/>
    <w:uiPriority w:val="99"/>
    <w:rsid w:val="005D1275"/>
    <w:rPr>
      <w:b/>
      <w:bCs/>
    </w:rPr>
  </w:style>
  <w:style w:type="paragraph" w:styleId="TableofFigures">
    <w:name w:val="table of figures"/>
    <w:basedOn w:val="Normal"/>
    <w:next w:val="Normal"/>
    <w:hidden/>
    <w:uiPriority w:val="99"/>
    <w:unhideWhenUsed/>
    <w:rsid w:val="005221BC"/>
    <w:pPr>
      <w:spacing w:after="0"/>
    </w:pPr>
  </w:style>
  <w:style w:type="paragraph" w:styleId="TableofAuthorities">
    <w:name w:val="table of authorities"/>
    <w:basedOn w:val="Normal"/>
    <w:next w:val="Normal"/>
    <w:uiPriority w:val="99"/>
    <w:unhideWhenUsed/>
    <w:rsid w:val="00954316"/>
    <w:pPr>
      <w:tabs>
        <w:tab w:val="right" w:leader="dot" w:pos="9060"/>
      </w:tabs>
      <w:spacing w:after="0"/>
      <w:ind w:left="198" w:hanging="198"/>
    </w:pPr>
  </w:style>
  <w:style w:type="paragraph" w:styleId="Signature">
    <w:name w:val="Signature"/>
    <w:basedOn w:val="Normal"/>
    <w:link w:val="SignatureChar"/>
    <w:hidden/>
    <w:uiPriority w:val="99"/>
    <w:unhideWhenUsed/>
    <w:rsid w:val="005221BC"/>
    <w:pPr>
      <w:spacing w:after="0" w:line="240" w:lineRule="auto"/>
      <w:ind w:left="4253"/>
    </w:pPr>
  </w:style>
  <w:style w:type="character" w:customStyle="1" w:styleId="SignatureChar">
    <w:name w:val="Signature Char"/>
    <w:basedOn w:val="DefaultParagraphFont"/>
    <w:link w:val="Signature"/>
    <w:uiPriority w:val="99"/>
    <w:rsid w:val="005221BC"/>
  </w:style>
  <w:style w:type="paragraph" w:styleId="Quote">
    <w:name w:val="Quote"/>
    <w:basedOn w:val="Normal"/>
    <w:next w:val="Normal"/>
    <w:link w:val="QuoteChar"/>
    <w:hidden/>
    <w:uiPriority w:val="29"/>
    <w:unhideWhenUsed/>
    <w:rsid w:val="004D17CD"/>
    <w:rPr>
      <w:i/>
      <w:iCs/>
      <w:color w:val="000000" w:themeColor="text1"/>
    </w:rPr>
  </w:style>
  <w:style w:type="character" w:customStyle="1" w:styleId="QuoteChar">
    <w:name w:val="Quote Char"/>
    <w:basedOn w:val="DefaultParagraphFont"/>
    <w:link w:val="Quote"/>
    <w:uiPriority w:val="29"/>
    <w:rsid w:val="004D17CD"/>
    <w:rPr>
      <w:i/>
      <w:iCs/>
      <w:color w:val="000000" w:themeColor="text1"/>
    </w:rPr>
  </w:style>
  <w:style w:type="paragraph" w:styleId="PlainText">
    <w:name w:val="Plain Text"/>
    <w:basedOn w:val="Normal"/>
    <w:link w:val="PlainTextChar"/>
    <w:uiPriority w:val="99"/>
    <w:unhideWhenUsed/>
    <w:rsid w:val="007D79D5"/>
    <w:pPr>
      <w:spacing w:after="0" w:line="240" w:lineRule="auto"/>
    </w:pPr>
    <w:rPr>
      <w:rFonts w:ascii="Consolas" w:hAnsi="Consolas"/>
      <w:szCs w:val="21"/>
    </w:rPr>
  </w:style>
  <w:style w:type="character" w:customStyle="1" w:styleId="PlainTextChar">
    <w:name w:val="Plain Text Char"/>
    <w:basedOn w:val="DefaultParagraphFont"/>
    <w:link w:val="PlainText"/>
    <w:uiPriority w:val="99"/>
    <w:rsid w:val="007D79D5"/>
    <w:rPr>
      <w:rFonts w:ascii="Consolas" w:hAnsi="Consolas"/>
      <w:szCs w:val="21"/>
    </w:rPr>
  </w:style>
  <w:style w:type="paragraph" w:styleId="NoteHeading">
    <w:name w:val="Note Heading"/>
    <w:basedOn w:val="Normal"/>
    <w:next w:val="Normal"/>
    <w:link w:val="NoteHeadingChar"/>
    <w:hidden/>
    <w:uiPriority w:val="99"/>
    <w:unhideWhenUsed/>
    <w:rsid w:val="007D79D5"/>
    <w:pPr>
      <w:spacing w:after="0" w:line="240" w:lineRule="auto"/>
    </w:pPr>
  </w:style>
  <w:style w:type="character" w:customStyle="1" w:styleId="NoteHeadingChar">
    <w:name w:val="Note Heading Char"/>
    <w:basedOn w:val="DefaultParagraphFont"/>
    <w:link w:val="NoteHeading"/>
    <w:uiPriority w:val="99"/>
    <w:rsid w:val="007D79D5"/>
  </w:style>
  <w:style w:type="paragraph" w:styleId="NormalIndent">
    <w:name w:val="Normal Indent"/>
    <w:basedOn w:val="Normal"/>
    <w:hidden/>
    <w:uiPriority w:val="99"/>
    <w:unhideWhenUsed/>
    <w:rsid w:val="004D17CD"/>
    <w:pPr>
      <w:ind w:left="720"/>
    </w:pPr>
  </w:style>
  <w:style w:type="paragraph" w:styleId="NormalWeb">
    <w:name w:val="Normal (Web)"/>
    <w:basedOn w:val="Normal"/>
    <w:hidden/>
    <w:uiPriority w:val="99"/>
    <w:unhideWhenUsed/>
    <w:rsid w:val="004D17CD"/>
    <w:rPr>
      <w:rFonts w:ascii="Times New Roman" w:hAnsi="Times New Roman" w:cs="Times New Roman"/>
      <w:sz w:val="24"/>
      <w:szCs w:val="24"/>
    </w:rPr>
  </w:style>
  <w:style w:type="paragraph" w:styleId="NoSpacing">
    <w:name w:val="No Spacing"/>
    <w:uiPriority w:val="34"/>
    <w:unhideWhenUsed/>
    <w:rsid w:val="00BB789B"/>
    <w:pPr>
      <w:spacing w:after="0" w:line="240" w:lineRule="auto"/>
    </w:pPr>
  </w:style>
  <w:style w:type="paragraph" w:styleId="MessageHeader">
    <w:name w:val="Message Header"/>
    <w:basedOn w:val="Normal"/>
    <w:link w:val="MessageHeaderChar"/>
    <w:hidden/>
    <w:uiPriority w:val="99"/>
    <w:unhideWhenUsed/>
    <w:rsid w:val="00604825"/>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eastAsiaTheme="majorEastAsia" w:cstheme="majorBidi"/>
      <w:sz w:val="24"/>
      <w:szCs w:val="24"/>
    </w:rPr>
  </w:style>
  <w:style w:type="character" w:customStyle="1" w:styleId="MessageHeaderChar">
    <w:name w:val="Message Header Char"/>
    <w:basedOn w:val="DefaultParagraphFont"/>
    <w:link w:val="MessageHeader"/>
    <w:uiPriority w:val="99"/>
    <w:rsid w:val="00604825"/>
    <w:rPr>
      <w:rFonts w:eastAsiaTheme="majorEastAsia" w:cstheme="majorBidi"/>
      <w:sz w:val="24"/>
      <w:szCs w:val="24"/>
      <w:shd w:val="pct20" w:color="auto" w:fill="auto"/>
    </w:rPr>
  </w:style>
  <w:style w:type="paragraph" w:styleId="MacroText">
    <w:name w:val="macro"/>
    <w:link w:val="MacroTextChar"/>
    <w:hidden/>
    <w:uiPriority w:val="99"/>
    <w:unhideWhenUsed/>
    <w:rsid w:val="00604825"/>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rPr>
  </w:style>
  <w:style w:type="character" w:customStyle="1" w:styleId="MacroTextChar">
    <w:name w:val="Macro Text Char"/>
    <w:basedOn w:val="DefaultParagraphFont"/>
    <w:link w:val="MacroText"/>
    <w:uiPriority w:val="99"/>
    <w:rsid w:val="00604825"/>
    <w:rPr>
      <w:rFonts w:ascii="Consolas" w:hAnsi="Consolas"/>
    </w:rPr>
  </w:style>
  <w:style w:type="paragraph" w:styleId="IndexHeading">
    <w:name w:val="index heading"/>
    <w:basedOn w:val="Normal"/>
    <w:next w:val="Index1"/>
    <w:hidden/>
    <w:uiPriority w:val="99"/>
    <w:unhideWhenUsed/>
    <w:rsid w:val="009B21FB"/>
    <w:rPr>
      <w:rFonts w:eastAsiaTheme="majorEastAsia" w:cstheme="majorBidi"/>
      <w:b/>
      <w:bCs/>
    </w:rPr>
  </w:style>
  <w:style w:type="paragraph" w:styleId="HTMLPreformatted">
    <w:name w:val="HTML Preformatted"/>
    <w:basedOn w:val="Normal"/>
    <w:link w:val="HTMLPreformattedChar"/>
    <w:hidden/>
    <w:uiPriority w:val="99"/>
    <w:unhideWhenUsed/>
    <w:rsid w:val="009B21FB"/>
    <w:pPr>
      <w:spacing w:after="0" w:line="240" w:lineRule="auto"/>
    </w:pPr>
    <w:rPr>
      <w:rFonts w:ascii="Consolas" w:hAnsi="Consolas"/>
    </w:rPr>
  </w:style>
  <w:style w:type="character" w:customStyle="1" w:styleId="HTMLPreformattedChar">
    <w:name w:val="HTML Preformatted Char"/>
    <w:basedOn w:val="DefaultParagraphFont"/>
    <w:link w:val="HTMLPreformatted"/>
    <w:uiPriority w:val="99"/>
    <w:rsid w:val="009B21FB"/>
    <w:rPr>
      <w:rFonts w:ascii="Consolas" w:hAnsi="Consolas"/>
    </w:rPr>
  </w:style>
  <w:style w:type="paragraph" w:styleId="HTMLAddress">
    <w:name w:val="HTML Address"/>
    <w:basedOn w:val="Normal"/>
    <w:link w:val="HTMLAddressChar"/>
    <w:uiPriority w:val="99"/>
    <w:unhideWhenUsed/>
    <w:rsid w:val="009B21FB"/>
    <w:pPr>
      <w:spacing w:after="0" w:line="240" w:lineRule="auto"/>
    </w:pPr>
    <w:rPr>
      <w:i/>
      <w:iCs/>
    </w:rPr>
  </w:style>
  <w:style w:type="character" w:customStyle="1" w:styleId="HTMLAddressChar">
    <w:name w:val="HTML Address Char"/>
    <w:basedOn w:val="DefaultParagraphFont"/>
    <w:link w:val="HTMLAddress"/>
    <w:uiPriority w:val="99"/>
    <w:rsid w:val="009B21FB"/>
    <w:rPr>
      <w:i/>
      <w:iCs/>
    </w:rPr>
  </w:style>
  <w:style w:type="paragraph" w:styleId="FootnoteText">
    <w:name w:val="footnote text"/>
    <w:basedOn w:val="Normal"/>
    <w:link w:val="FootnoteTextChar"/>
    <w:unhideWhenUsed/>
    <w:rsid w:val="00BB789B"/>
    <w:pPr>
      <w:spacing w:after="60" w:line="240" w:lineRule="auto"/>
    </w:pPr>
    <w:rPr>
      <w:sz w:val="18"/>
    </w:rPr>
  </w:style>
  <w:style w:type="character" w:customStyle="1" w:styleId="FootnoteTextChar">
    <w:name w:val="Footnote Text Char"/>
    <w:basedOn w:val="DefaultParagraphFont"/>
    <w:link w:val="FootnoteText"/>
    <w:uiPriority w:val="99"/>
    <w:rsid w:val="00BB789B"/>
    <w:rPr>
      <w:sz w:val="18"/>
    </w:rPr>
  </w:style>
  <w:style w:type="paragraph" w:styleId="EnvelopeReturn">
    <w:name w:val="envelope return"/>
    <w:basedOn w:val="Normal"/>
    <w:hidden/>
    <w:uiPriority w:val="99"/>
    <w:unhideWhenUsed/>
    <w:rsid w:val="007E18F6"/>
    <w:pPr>
      <w:spacing w:after="0" w:line="240" w:lineRule="auto"/>
    </w:pPr>
    <w:rPr>
      <w:rFonts w:eastAsiaTheme="majorEastAsia" w:cstheme="majorBidi"/>
    </w:rPr>
  </w:style>
  <w:style w:type="paragraph" w:styleId="EnvelopeAddress">
    <w:name w:val="envelope address"/>
    <w:basedOn w:val="Normal"/>
    <w:hidden/>
    <w:uiPriority w:val="99"/>
    <w:unhideWhenUsed/>
    <w:rsid w:val="007E18F6"/>
    <w:pPr>
      <w:framePr w:w="7920" w:h="1980" w:hRule="exact" w:hSpace="141" w:wrap="auto" w:hAnchor="page" w:xAlign="center" w:yAlign="bottom"/>
      <w:spacing w:after="0" w:line="240" w:lineRule="auto"/>
      <w:ind w:left="2880"/>
    </w:pPr>
    <w:rPr>
      <w:rFonts w:eastAsiaTheme="majorEastAsia" w:cstheme="majorBidi"/>
      <w:sz w:val="24"/>
      <w:szCs w:val="24"/>
    </w:rPr>
  </w:style>
  <w:style w:type="paragraph" w:styleId="EndnoteText">
    <w:name w:val="endnote text"/>
    <w:basedOn w:val="Normal"/>
    <w:link w:val="EndnoteTextChar"/>
    <w:uiPriority w:val="99"/>
    <w:unhideWhenUsed/>
    <w:rsid w:val="007E18F6"/>
    <w:pPr>
      <w:spacing w:after="0" w:line="240" w:lineRule="auto"/>
    </w:pPr>
  </w:style>
  <w:style w:type="character" w:customStyle="1" w:styleId="EndnoteTextChar">
    <w:name w:val="Endnote Text Char"/>
    <w:basedOn w:val="DefaultParagraphFont"/>
    <w:link w:val="EndnoteText"/>
    <w:uiPriority w:val="99"/>
    <w:rsid w:val="007E18F6"/>
  </w:style>
  <w:style w:type="paragraph" w:styleId="E-mailSignature">
    <w:name w:val="E-mail Signature"/>
    <w:basedOn w:val="Normal"/>
    <w:link w:val="E-mailSignatureChar"/>
    <w:hidden/>
    <w:uiPriority w:val="99"/>
    <w:unhideWhenUsed/>
    <w:rsid w:val="007E18F6"/>
    <w:pPr>
      <w:spacing w:after="0" w:line="240" w:lineRule="auto"/>
    </w:pPr>
  </w:style>
  <w:style w:type="character" w:customStyle="1" w:styleId="E-mailSignatureChar">
    <w:name w:val="E-mail Signature Char"/>
    <w:basedOn w:val="DefaultParagraphFont"/>
    <w:link w:val="E-mailSignature"/>
    <w:uiPriority w:val="99"/>
    <w:rsid w:val="007E18F6"/>
  </w:style>
  <w:style w:type="paragraph" w:styleId="DocumentMap">
    <w:name w:val="Document Map"/>
    <w:basedOn w:val="Normal"/>
    <w:link w:val="DocumentMapChar"/>
    <w:hidden/>
    <w:uiPriority w:val="99"/>
    <w:unhideWhenUsed/>
    <w:rsid w:val="007E18F6"/>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rsid w:val="007E18F6"/>
    <w:rPr>
      <w:rFonts w:ascii="Tahoma" w:hAnsi="Tahoma" w:cs="Tahoma"/>
      <w:sz w:val="16"/>
      <w:szCs w:val="16"/>
    </w:rPr>
  </w:style>
  <w:style w:type="paragraph" w:styleId="Closing">
    <w:name w:val="Closing"/>
    <w:basedOn w:val="Normal"/>
    <w:link w:val="ClosingChar"/>
    <w:hidden/>
    <w:uiPriority w:val="99"/>
    <w:unhideWhenUsed/>
    <w:rsid w:val="007E18F6"/>
    <w:pPr>
      <w:spacing w:after="0" w:line="240" w:lineRule="auto"/>
      <w:ind w:left="4252"/>
    </w:pPr>
  </w:style>
  <w:style w:type="character" w:customStyle="1" w:styleId="ClosingChar">
    <w:name w:val="Closing Char"/>
    <w:basedOn w:val="DefaultParagraphFont"/>
    <w:link w:val="Closing"/>
    <w:uiPriority w:val="99"/>
    <w:rsid w:val="007E18F6"/>
  </w:style>
  <w:style w:type="paragraph" w:styleId="BodyTextIndent3">
    <w:name w:val="Body Text Indent 3"/>
    <w:basedOn w:val="Normal"/>
    <w:next w:val="BodyTextIndent"/>
    <w:link w:val="BodyTextIndent3Char"/>
    <w:uiPriority w:val="99"/>
    <w:unhideWhenUsed/>
    <w:rsid w:val="00BB789B"/>
    <w:pPr>
      <w:spacing w:after="120" w:line="480" w:lineRule="auto"/>
      <w:ind w:left="283"/>
    </w:pPr>
    <w:rPr>
      <w:sz w:val="16"/>
      <w:szCs w:val="16"/>
    </w:rPr>
  </w:style>
  <w:style w:type="character" w:customStyle="1" w:styleId="BodyTextIndent3Char">
    <w:name w:val="Body Text Indent 3 Char"/>
    <w:basedOn w:val="DefaultParagraphFont"/>
    <w:link w:val="BodyTextIndent3"/>
    <w:uiPriority w:val="99"/>
    <w:rsid w:val="00BB789B"/>
    <w:rPr>
      <w:sz w:val="16"/>
      <w:szCs w:val="16"/>
    </w:rPr>
  </w:style>
  <w:style w:type="paragraph" w:styleId="BodyTextIndent2">
    <w:name w:val="Body Text Indent 2"/>
    <w:basedOn w:val="Normal"/>
    <w:next w:val="BodyTextIndent"/>
    <w:link w:val="BodyTextIndent2Char"/>
    <w:uiPriority w:val="99"/>
    <w:unhideWhenUsed/>
    <w:rsid w:val="00BB789B"/>
    <w:pPr>
      <w:spacing w:after="120" w:line="480" w:lineRule="auto"/>
      <w:ind w:left="283"/>
    </w:pPr>
  </w:style>
  <w:style w:type="character" w:customStyle="1" w:styleId="BodyTextIndent2Char">
    <w:name w:val="Body Text Indent 2 Char"/>
    <w:basedOn w:val="DefaultParagraphFont"/>
    <w:link w:val="BodyTextIndent2"/>
    <w:uiPriority w:val="99"/>
    <w:rsid w:val="00BB789B"/>
  </w:style>
  <w:style w:type="paragraph" w:styleId="BodyTextIndent">
    <w:name w:val="Body Text Indent"/>
    <w:basedOn w:val="Normal"/>
    <w:link w:val="BodyTextIndentChar"/>
    <w:uiPriority w:val="99"/>
    <w:unhideWhenUsed/>
    <w:rsid w:val="00BB789B"/>
    <w:pPr>
      <w:spacing w:after="120"/>
      <w:ind w:left="283"/>
    </w:pPr>
  </w:style>
  <w:style w:type="character" w:customStyle="1" w:styleId="BodyTextIndentChar">
    <w:name w:val="Body Text Indent Char"/>
    <w:basedOn w:val="DefaultParagraphFont"/>
    <w:link w:val="BodyTextIndent"/>
    <w:uiPriority w:val="99"/>
    <w:rsid w:val="00BB789B"/>
  </w:style>
  <w:style w:type="paragraph" w:styleId="BodyTextFirstIndent2">
    <w:name w:val="Body Text First Indent 2"/>
    <w:basedOn w:val="Normal"/>
    <w:link w:val="BodyTextFirstIndent2Char"/>
    <w:uiPriority w:val="99"/>
    <w:unhideWhenUsed/>
    <w:rsid w:val="00BB789B"/>
    <w:pPr>
      <w:ind w:left="283" w:firstLine="283"/>
    </w:pPr>
  </w:style>
  <w:style w:type="character" w:customStyle="1" w:styleId="BodyTextFirstIndent2Char">
    <w:name w:val="Body Text First Indent 2 Char"/>
    <w:basedOn w:val="BodyTextIndentChar"/>
    <w:link w:val="BodyTextFirstIndent2"/>
    <w:uiPriority w:val="99"/>
    <w:rsid w:val="00BB789B"/>
  </w:style>
  <w:style w:type="paragraph" w:styleId="BodyTextFirstIndent">
    <w:name w:val="Body Text First Indent"/>
    <w:basedOn w:val="BodyText"/>
    <w:link w:val="BodyTextFirstIndentChar"/>
    <w:uiPriority w:val="99"/>
    <w:unhideWhenUsed/>
    <w:rsid w:val="00BB789B"/>
    <w:pPr>
      <w:ind w:firstLine="283"/>
    </w:pPr>
  </w:style>
  <w:style w:type="character" w:customStyle="1" w:styleId="BodyTextFirstIndentChar">
    <w:name w:val="Body Text First Indent Char"/>
    <w:basedOn w:val="BodyTextChar"/>
    <w:link w:val="BodyTextFirstIndent"/>
    <w:uiPriority w:val="99"/>
    <w:rsid w:val="00BB789B"/>
  </w:style>
  <w:style w:type="paragraph" w:styleId="BodyText3">
    <w:name w:val="Body Text 3"/>
    <w:basedOn w:val="Normal"/>
    <w:link w:val="BodyText3Char"/>
    <w:uiPriority w:val="99"/>
    <w:unhideWhenUsed/>
    <w:rsid w:val="00BB789B"/>
    <w:pPr>
      <w:spacing w:after="120"/>
    </w:pPr>
    <w:rPr>
      <w:sz w:val="16"/>
      <w:szCs w:val="16"/>
    </w:rPr>
  </w:style>
  <w:style w:type="character" w:customStyle="1" w:styleId="BodyText3Char">
    <w:name w:val="Body Text 3 Char"/>
    <w:basedOn w:val="DefaultParagraphFont"/>
    <w:link w:val="BodyText3"/>
    <w:uiPriority w:val="99"/>
    <w:rsid w:val="00BB789B"/>
    <w:rPr>
      <w:sz w:val="16"/>
      <w:szCs w:val="16"/>
    </w:rPr>
  </w:style>
  <w:style w:type="paragraph" w:styleId="BodyText2">
    <w:name w:val="Body Text 2"/>
    <w:basedOn w:val="Normal"/>
    <w:link w:val="BodyText2Char"/>
    <w:uiPriority w:val="99"/>
    <w:unhideWhenUsed/>
    <w:rsid w:val="00BB789B"/>
    <w:pPr>
      <w:spacing w:after="120" w:line="480" w:lineRule="auto"/>
    </w:pPr>
  </w:style>
  <w:style w:type="character" w:customStyle="1" w:styleId="BodyText2Char">
    <w:name w:val="Body Text 2 Char"/>
    <w:basedOn w:val="DefaultParagraphFont"/>
    <w:link w:val="BodyText2"/>
    <w:uiPriority w:val="99"/>
    <w:rsid w:val="00BB789B"/>
  </w:style>
  <w:style w:type="paragraph" w:styleId="Bibliography">
    <w:name w:val="Bibliography"/>
    <w:basedOn w:val="Normal"/>
    <w:uiPriority w:val="37"/>
    <w:unhideWhenUsed/>
    <w:rsid w:val="00BB789B"/>
  </w:style>
  <w:style w:type="paragraph" w:customStyle="1" w:styleId="BlockText2">
    <w:name w:val="Block Text 2"/>
    <w:basedOn w:val="Normal"/>
    <w:next w:val="BodyText2"/>
    <w:uiPriority w:val="99"/>
    <w:rsid w:val="00BB789B"/>
    <w:pPr>
      <w:pBdr>
        <w:top w:val="single" w:sz="8" w:space="10" w:color="DC6900" w:themeColor="text2"/>
        <w:left w:val="single" w:sz="8" w:space="10" w:color="DC6900" w:themeColor="text2"/>
        <w:bottom w:val="single" w:sz="8" w:space="10" w:color="DC6900" w:themeColor="text2"/>
        <w:right w:val="single" w:sz="8" w:space="10" w:color="DC6900" w:themeColor="text2"/>
      </w:pBdr>
      <w:shd w:val="solid" w:color="DC6900" w:themeColor="text2" w:fill="DC6900" w:themeFill="text2"/>
      <w:spacing w:line="240" w:lineRule="auto"/>
      <w:ind w:left="227" w:right="227"/>
    </w:pPr>
    <w:rPr>
      <w:b/>
      <w:i/>
      <w:color w:val="FFFFFF" w:themeColor="background2"/>
      <w:sz w:val="48"/>
      <w:szCs w:val="48"/>
    </w:rPr>
  </w:style>
  <w:style w:type="paragraph" w:customStyle="1" w:styleId="BlockText3">
    <w:name w:val="Block Text 3"/>
    <w:basedOn w:val="Normal"/>
    <w:next w:val="BodyText3"/>
    <w:uiPriority w:val="99"/>
    <w:rsid w:val="00BB789B"/>
    <w:pPr>
      <w:pBdr>
        <w:top w:val="single" w:sz="8" w:space="10" w:color="F2F2F2" w:themeColor="background2" w:themeShade="F2"/>
        <w:left w:val="single" w:sz="8" w:space="10" w:color="F2F2F2" w:themeColor="background2" w:themeShade="F2"/>
        <w:bottom w:val="single" w:sz="8" w:space="10" w:color="F2F2F2" w:themeColor="background2" w:themeShade="F2"/>
        <w:right w:val="single" w:sz="8" w:space="10" w:color="F2F2F2" w:themeColor="background2" w:themeShade="F2"/>
      </w:pBdr>
      <w:shd w:val="solid" w:color="F2F2F2" w:themeColor="background2" w:themeShade="F2" w:fill="F2F2F2" w:themeFill="background2" w:themeFillShade="F2"/>
      <w:spacing w:line="240" w:lineRule="auto"/>
      <w:ind w:left="227" w:right="227"/>
    </w:pPr>
    <w:rPr>
      <w:rFonts w:eastAsiaTheme="minorEastAsia"/>
      <w:b/>
      <w:i/>
      <w:iCs/>
      <w:color w:val="DC6900" w:themeColor="accent1"/>
      <w:sz w:val="96"/>
    </w:rPr>
  </w:style>
  <w:style w:type="paragraph" w:customStyle="1" w:styleId="Version-2010001">
    <w:name w:val="Version-2010.001"/>
    <w:basedOn w:val="Normal"/>
    <w:uiPriority w:val="34"/>
    <w:rsid w:val="00BB789B"/>
  </w:style>
  <w:style w:type="paragraph" w:customStyle="1" w:styleId="Headline6">
    <w:name w:val="Headline 6"/>
    <w:basedOn w:val="BodyText"/>
    <w:next w:val="BodyText"/>
    <w:uiPriority w:val="34"/>
    <w:rsid w:val="00BB789B"/>
    <w:pPr>
      <w:keepNext/>
      <w:spacing w:after="40" w:line="240" w:lineRule="auto"/>
    </w:pPr>
  </w:style>
  <w:style w:type="paragraph" w:customStyle="1" w:styleId="Headline7">
    <w:name w:val="Headline 7"/>
    <w:basedOn w:val="BodyText"/>
    <w:next w:val="BodyText"/>
    <w:uiPriority w:val="34"/>
    <w:rsid w:val="00BB789B"/>
    <w:pPr>
      <w:keepNext/>
      <w:spacing w:after="40" w:line="240" w:lineRule="auto"/>
    </w:pPr>
  </w:style>
  <w:style w:type="paragraph" w:customStyle="1" w:styleId="Headline8">
    <w:name w:val="Headline 8"/>
    <w:basedOn w:val="BodyText"/>
    <w:next w:val="BodyText"/>
    <w:uiPriority w:val="34"/>
    <w:rsid w:val="00BB789B"/>
    <w:pPr>
      <w:keepNext/>
      <w:spacing w:after="40" w:line="240" w:lineRule="auto"/>
    </w:pPr>
  </w:style>
  <w:style w:type="paragraph" w:customStyle="1" w:styleId="Headline9">
    <w:name w:val="Headline 9"/>
    <w:basedOn w:val="BodyText"/>
    <w:next w:val="BodyText"/>
    <w:uiPriority w:val="34"/>
    <w:rsid w:val="00BB789B"/>
    <w:pPr>
      <w:keepNext/>
      <w:spacing w:after="40" w:line="240" w:lineRule="auto"/>
    </w:pPr>
  </w:style>
  <w:style w:type="paragraph" w:customStyle="1" w:styleId="NoteBullet">
    <w:name w:val="Note Bullet"/>
    <w:basedOn w:val="NoteBody"/>
    <w:uiPriority w:val="34"/>
    <w:rsid w:val="00BB789B"/>
    <w:pPr>
      <w:numPr>
        <w:numId w:val="7"/>
      </w:numPr>
      <w:contextualSpacing/>
    </w:pPr>
  </w:style>
  <w:style w:type="paragraph" w:customStyle="1" w:styleId="NoteNumber">
    <w:name w:val="Note Number"/>
    <w:basedOn w:val="NoteBody"/>
    <w:uiPriority w:val="34"/>
    <w:rsid w:val="00BB789B"/>
    <w:pPr>
      <w:numPr>
        <w:numId w:val="9"/>
      </w:numPr>
      <w:contextualSpacing/>
    </w:pPr>
  </w:style>
  <w:style w:type="numbering" w:styleId="ArticleSection">
    <w:name w:val="Outline List 3"/>
    <w:basedOn w:val="NoList"/>
    <w:uiPriority w:val="99"/>
    <w:semiHidden/>
    <w:unhideWhenUsed/>
    <w:rsid w:val="00BB789B"/>
    <w:pPr>
      <w:numPr>
        <w:numId w:val="4"/>
      </w:numPr>
    </w:pPr>
  </w:style>
  <w:style w:type="numbering" w:styleId="1ai">
    <w:name w:val="Outline List 1"/>
    <w:basedOn w:val="NoList"/>
    <w:uiPriority w:val="99"/>
    <w:semiHidden/>
    <w:unhideWhenUsed/>
    <w:rsid w:val="00BB789B"/>
    <w:pPr>
      <w:numPr>
        <w:numId w:val="5"/>
      </w:numPr>
    </w:pPr>
  </w:style>
  <w:style w:type="numbering" w:styleId="111111">
    <w:name w:val="Outline List 2"/>
    <w:basedOn w:val="NoList"/>
    <w:uiPriority w:val="99"/>
    <w:semiHidden/>
    <w:unhideWhenUsed/>
    <w:rsid w:val="00BB789B"/>
    <w:pPr>
      <w:numPr>
        <w:numId w:val="6"/>
      </w:numPr>
    </w:pPr>
  </w:style>
  <w:style w:type="character" w:styleId="BookTitle">
    <w:name w:val="Book Title"/>
    <w:basedOn w:val="DefaultParagraphFont"/>
    <w:uiPriority w:val="33"/>
    <w:semiHidden/>
    <w:unhideWhenUsed/>
    <w:qFormat/>
    <w:rsid w:val="00BB789B"/>
    <w:rPr>
      <w:b/>
      <w:bCs/>
      <w:i w:val="0"/>
      <w:caps w:val="0"/>
      <w:smallCaps/>
      <w:color w:val="auto"/>
      <w:spacing w:val="5"/>
      <w:kern w:val="0"/>
      <w:u w:val="none"/>
    </w:rPr>
  </w:style>
  <w:style w:type="paragraph" w:customStyle="1" w:styleId="ChartTableTitleRight">
    <w:name w:val="Chart Table Title Right"/>
    <w:basedOn w:val="Normal"/>
    <w:uiPriority w:val="34"/>
    <w:qFormat/>
    <w:rsid w:val="00D370C5"/>
    <w:pPr>
      <w:spacing w:after="0"/>
      <w:jc w:val="right"/>
    </w:pPr>
    <w:rPr>
      <w:b/>
      <w:i/>
    </w:rPr>
  </w:style>
  <w:style w:type="paragraph" w:customStyle="1" w:styleId="ChartTableTitleArial">
    <w:name w:val="Chart Table Title Arial"/>
    <w:basedOn w:val="Normal"/>
    <w:uiPriority w:val="34"/>
    <w:qFormat/>
    <w:rsid w:val="00D370C5"/>
    <w:pPr>
      <w:spacing w:after="0"/>
    </w:pPr>
    <w:rPr>
      <w:rFonts w:ascii="Arial" w:hAnsi="Arial" w:cs="Arial"/>
      <w:b/>
    </w:rPr>
  </w:style>
  <w:style w:type="paragraph" w:customStyle="1" w:styleId="ChartTableTitleArialRight">
    <w:name w:val="Chart Table Title Arial Right"/>
    <w:basedOn w:val="Normal"/>
    <w:next w:val="ChartTableTitleRight"/>
    <w:uiPriority w:val="34"/>
    <w:qFormat/>
    <w:rsid w:val="00BB789B"/>
    <w:pPr>
      <w:spacing w:after="0"/>
      <w:jc w:val="right"/>
    </w:pPr>
    <w:rPr>
      <w:rFonts w:ascii="Arial" w:hAnsi="Arial" w:cs="Arial"/>
      <w:b/>
    </w:rPr>
  </w:style>
  <w:style w:type="paragraph" w:customStyle="1" w:styleId="ChartText">
    <w:name w:val="Chart Text"/>
    <w:basedOn w:val="BodyText"/>
    <w:uiPriority w:val="34"/>
    <w:qFormat/>
    <w:rsid w:val="00D370C5"/>
    <w:pPr>
      <w:spacing w:after="0"/>
    </w:pPr>
    <w:rPr>
      <w:rFonts w:cs="Arial"/>
    </w:rPr>
  </w:style>
  <w:style w:type="paragraph" w:customStyle="1" w:styleId="ChartTextRight">
    <w:name w:val="Chart Text Right"/>
    <w:basedOn w:val="BodyText"/>
    <w:uiPriority w:val="34"/>
    <w:qFormat/>
    <w:rsid w:val="00D370C5"/>
    <w:pPr>
      <w:spacing w:after="0"/>
      <w:jc w:val="right"/>
    </w:pPr>
    <w:rPr>
      <w:rFonts w:cs="Arial"/>
      <w:lang w:val="en-US"/>
    </w:rPr>
  </w:style>
  <w:style w:type="table" w:customStyle="1" w:styleId="ColorfulGrid1">
    <w:name w:val="Colorful Grid1"/>
    <w:basedOn w:val="TableNormal"/>
    <w:hidden/>
    <w:uiPriority w:val="73"/>
    <w:rsid w:val="00BB78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hidden/>
    <w:uiPriority w:val="73"/>
    <w:rsid w:val="00BB78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E0C5" w:themeFill="accent1" w:themeFillTint="33"/>
    </w:tcPr>
    <w:tblStylePr w:type="firstRow">
      <w:rPr>
        <w:b/>
        <w:bCs/>
      </w:rPr>
      <w:tblPr/>
      <w:tcPr>
        <w:shd w:val="clear" w:color="auto" w:fill="FFC28B" w:themeFill="accent1" w:themeFillTint="66"/>
      </w:tcPr>
    </w:tblStylePr>
    <w:tblStylePr w:type="lastRow">
      <w:rPr>
        <w:b/>
        <w:bCs/>
        <w:color w:val="000000" w:themeColor="text1"/>
      </w:rPr>
      <w:tblPr/>
      <w:tcPr>
        <w:shd w:val="clear" w:color="auto" w:fill="FFC28B" w:themeFill="accent1" w:themeFillTint="66"/>
      </w:tcPr>
    </w:tblStylePr>
    <w:tblStylePr w:type="firstCol">
      <w:rPr>
        <w:color w:val="FFFFFF" w:themeColor="background1"/>
      </w:rPr>
      <w:tblPr/>
      <w:tcPr>
        <w:shd w:val="clear" w:color="auto" w:fill="A44E00" w:themeFill="accent1" w:themeFillShade="BF"/>
      </w:tcPr>
    </w:tblStylePr>
    <w:tblStylePr w:type="lastCol">
      <w:rPr>
        <w:color w:val="FFFFFF" w:themeColor="background1"/>
      </w:rPr>
      <w:tblPr/>
      <w:tcPr>
        <w:shd w:val="clear" w:color="auto" w:fill="A44E00" w:themeFill="accent1" w:themeFillShade="BF"/>
      </w:tcPr>
    </w:tblStylePr>
    <w:tblStylePr w:type="band1Vert">
      <w:tblPr/>
      <w:tcPr>
        <w:shd w:val="clear" w:color="auto" w:fill="FFB26E" w:themeFill="accent1" w:themeFillTint="7F"/>
      </w:tcPr>
    </w:tblStylePr>
    <w:tblStylePr w:type="band1Horz">
      <w:tblPr/>
      <w:tcPr>
        <w:shd w:val="clear" w:color="auto" w:fill="FFB26E" w:themeFill="accent1" w:themeFillTint="7F"/>
      </w:tcPr>
    </w:tblStylePr>
  </w:style>
  <w:style w:type="table" w:styleId="ColorfulGrid-Accent2">
    <w:name w:val="Colorful Grid Accent 2"/>
    <w:basedOn w:val="TableNormal"/>
    <w:hidden/>
    <w:uiPriority w:val="73"/>
    <w:rsid w:val="00BB78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0CC" w:themeFill="accent2" w:themeFillTint="33"/>
    </w:tcPr>
    <w:tblStylePr w:type="firstRow">
      <w:rPr>
        <w:b/>
        <w:bCs/>
      </w:rPr>
      <w:tblPr/>
      <w:tcPr>
        <w:shd w:val="clear" w:color="auto" w:fill="FFE199" w:themeFill="accent2" w:themeFillTint="66"/>
      </w:tcPr>
    </w:tblStylePr>
    <w:tblStylePr w:type="lastRow">
      <w:rPr>
        <w:b/>
        <w:bCs/>
        <w:color w:val="000000" w:themeColor="text1"/>
      </w:rPr>
      <w:tblPr/>
      <w:tcPr>
        <w:shd w:val="clear" w:color="auto" w:fill="FFE199" w:themeFill="accent2" w:themeFillTint="66"/>
      </w:tcPr>
    </w:tblStylePr>
    <w:tblStylePr w:type="firstCol">
      <w:rPr>
        <w:color w:val="FFFFFF" w:themeColor="background1"/>
      </w:rPr>
      <w:tblPr/>
      <w:tcPr>
        <w:shd w:val="clear" w:color="auto" w:fill="BF8800" w:themeFill="accent2" w:themeFillShade="BF"/>
      </w:tcPr>
    </w:tblStylePr>
    <w:tblStylePr w:type="lastCol">
      <w:rPr>
        <w:color w:val="FFFFFF" w:themeColor="background1"/>
      </w:rPr>
      <w:tblPr/>
      <w:tcPr>
        <w:shd w:val="clear" w:color="auto" w:fill="BF8800" w:themeFill="accent2" w:themeFillShade="BF"/>
      </w:tcPr>
    </w:tblStylePr>
    <w:tblStylePr w:type="band1Vert">
      <w:tblPr/>
      <w:tcPr>
        <w:shd w:val="clear" w:color="auto" w:fill="FFDA80" w:themeFill="accent2" w:themeFillTint="7F"/>
      </w:tcPr>
    </w:tblStylePr>
    <w:tblStylePr w:type="band1Horz">
      <w:tblPr/>
      <w:tcPr>
        <w:shd w:val="clear" w:color="auto" w:fill="FFDA80" w:themeFill="accent2" w:themeFillTint="7F"/>
      </w:tcPr>
    </w:tblStylePr>
  </w:style>
  <w:style w:type="table" w:styleId="ColorfulGrid-Accent3">
    <w:name w:val="Colorful Grid Accent 3"/>
    <w:basedOn w:val="TableNormal"/>
    <w:hidden/>
    <w:uiPriority w:val="73"/>
    <w:rsid w:val="00BB78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C7C5" w:themeFill="accent3" w:themeFillTint="33"/>
    </w:tcPr>
    <w:tblStylePr w:type="firstRow">
      <w:rPr>
        <w:b/>
        <w:bCs/>
      </w:rPr>
      <w:tblPr/>
      <w:tcPr>
        <w:shd w:val="clear" w:color="auto" w:fill="D88F8C" w:themeFill="accent3" w:themeFillTint="66"/>
      </w:tcPr>
    </w:tblStylePr>
    <w:tblStylePr w:type="lastRow">
      <w:rPr>
        <w:b/>
        <w:bCs/>
        <w:color w:val="000000" w:themeColor="text1"/>
      </w:rPr>
      <w:tblPr/>
      <w:tcPr>
        <w:shd w:val="clear" w:color="auto" w:fill="D88F8C" w:themeFill="accent3" w:themeFillTint="66"/>
      </w:tcPr>
    </w:tblStylePr>
    <w:tblStylePr w:type="firstCol">
      <w:rPr>
        <w:color w:val="FFFFFF" w:themeColor="background1"/>
      </w:rPr>
      <w:tblPr/>
      <w:tcPr>
        <w:shd w:val="clear" w:color="auto" w:fill="471A18" w:themeFill="accent3" w:themeFillShade="BF"/>
      </w:tcPr>
    </w:tblStylePr>
    <w:tblStylePr w:type="lastCol">
      <w:rPr>
        <w:color w:val="FFFFFF" w:themeColor="background1"/>
      </w:rPr>
      <w:tblPr/>
      <w:tcPr>
        <w:shd w:val="clear" w:color="auto" w:fill="471A18" w:themeFill="accent3" w:themeFillShade="BF"/>
      </w:tcPr>
    </w:tblStylePr>
    <w:tblStylePr w:type="band1Vert">
      <w:tblPr/>
      <w:tcPr>
        <w:shd w:val="clear" w:color="auto" w:fill="CF7470" w:themeFill="accent3" w:themeFillTint="7F"/>
      </w:tcPr>
    </w:tblStylePr>
    <w:tblStylePr w:type="band1Horz">
      <w:tblPr/>
      <w:tcPr>
        <w:shd w:val="clear" w:color="auto" w:fill="CF7470" w:themeFill="accent3" w:themeFillTint="7F"/>
      </w:tcPr>
    </w:tblStylePr>
  </w:style>
  <w:style w:type="table" w:styleId="ColorfulGrid-Accent4">
    <w:name w:val="Colorful Grid Accent 4"/>
    <w:basedOn w:val="TableNormal"/>
    <w:hidden/>
    <w:uiPriority w:val="73"/>
    <w:rsid w:val="00BB78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E3E6" w:themeFill="accent4" w:themeFillTint="33"/>
    </w:tcPr>
    <w:tblStylePr w:type="firstRow">
      <w:rPr>
        <w:b/>
        <w:bCs/>
      </w:rPr>
      <w:tblPr/>
      <w:tcPr>
        <w:shd w:val="clear" w:color="auto" w:fill="F3C7CF" w:themeFill="accent4" w:themeFillTint="66"/>
      </w:tcPr>
    </w:tblStylePr>
    <w:tblStylePr w:type="lastRow">
      <w:rPr>
        <w:b/>
        <w:bCs/>
        <w:color w:val="000000" w:themeColor="text1"/>
      </w:rPr>
      <w:tblPr/>
      <w:tcPr>
        <w:shd w:val="clear" w:color="auto" w:fill="F3C7CF" w:themeFill="accent4" w:themeFillTint="66"/>
      </w:tcPr>
    </w:tblStylePr>
    <w:tblStylePr w:type="firstCol">
      <w:rPr>
        <w:color w:val="FFFFFF" w:themeColor="background1"/>
      </w:rPr>
      <w:tblPr/>
      <w:tcPr>
        <w:shd w:val="clear" w:color="auto" w:fill="D32D4A" w:themeFill="accent4" w:themeFillShade="BF"/>
      </w:tcPr>
    </w:tblStylePr>
    <w:tblStylePr w:type="lastCol">
      <w:rPr>
        <w:color w:val="FFFFFF" w:themeColor="background1"/>
      </w:rPr>
      <w:tblPr/>
      <w:tcPr>
        <w:shd w:val="clear" w:color="auto" w:fill="D32D4A" w:themeFill="accent4" w:themeFillShade="BF"/>
      </w:tcPr>
    </w:tblStylePr>
    <w:tblStylePr w:type="band1Vert">
      <w:tblPr/>
      <w:tcPr>
        <w:shd w:val="clear" w:color="auto" w:fill="F0BAC3" w:themeFill="accent4" w:themeFillTint="7F"/>
      </w:tcPr>
    </w:tblStylePr>
    <w:tblStylePr w:type="band1Horz">
      <w:tblPr/>
      <w:tcPr>
        <w:shd w:val="clear" w:color="auto" w:fill="F0BAC3" w:themeFill="accent4" w:themeFillTint="7F"/>
      </w:tcPr>
    </w:tblStylePr>
  </w:style>
  <w:style w:type="table" w:styleId="ColorfulGrid-Accent5">
    <w:name w:val="Colorful Grid Accent 5"/>
    <w:basedOn w:val="TableNormal"/>
    <w:hidden/>
    <w:uiPriority w:val="73"/>
    <w:rsid w:val="00BB78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4CACA" w:themeFill="accent5" w:themeFillTint="33"/>
    </w:tcPr>
    <w:tblStylePr w:type="firstRow">
      <w:rPr>
        <w:b/>
        <w:bCs/>
      </w:rPr>
      <w:tblPr/>
      <w:tcPr>
        <w:shd w:val="clear" w:color="auto" w:fill="EA9595" w:themeFill="accent5" w:themeFillTint="66"/>
      </w:tcPr>
    </w:tblStylePr>
    <w:tblStylePr w:type="lastRow">
      <w:rPr>
        <w:b/>
        <w:bCs/>
        <w:color w:val="000000" w:themeColor="text1"/>
      </w:rPr>
      <w:tblPr/>
      <w:tcPr>
        <w:shd w:val="clear" w:color="auto" w:fill="EA9595" w:themeFill="accent5" w:themeFillTint="66"/>
      </w:tcPr>
    </w:tblStylePr>
    <w:tblStylePr w:type="firstCol">
      <w:rPr>
        <w:color w:val="FFFFFF" w:themeColor="background1"/>
      </w:rPr>
      <w:tblPr/>
      <w:tcPr>
        <w:shd w:val="clear" w:color="auto" w:fill="7A1818" w:themeFill="accent5" w:themeFillShade="BF"/>
      </w:tcPr>
    </w:tblStylePr>
    <w:tblStylePr w:type="lastCol">
      <w:rPr>
        <w:color w:val="FFFFFF" w:themeColor="background1"/>
      </w:rPr>
      <w:tblPr/>
      <w:tcPr>
        <w:shd w:val="clear" w:color="auto" w:fill="7A1818" w:themeFill="accent5" w:themeFillShade="BF"/>
      </w:tcPr>
    </w:tblStylePr>
    <w:tblStylePr w:type="band1Vert">
      <w:tblPr/>
      <w:tcPr>
        <w:shd w:val="clear" w:color="auto" w:fill="E57B7B" w:themeFill="accent5" w:themeFillTint="7F"/>
      </w:tcPr>
    </w:tblStylePr>
    <w:tblStylePr w:type="band1Horz">
      <w:tblPr/>
      <w:tcPr>
        <w:shd w:val="clear" w:color="auto" w:fill="E57B7B" w:themeFill="accent5" w:themeFillTint="7F"/>
      </w:tcPr>
    </w:tblStylePr>
  </w:style>
  <w:style w:type="table" w:styleId="ColorfulGrid-Accent6">
    <w:name w:val="Colorful Grid Accent 6"/>
    <w:basedOn w:val="TableNormal"/>
    <w:hidden/>
    <w:uiPriority w:val="73"/>
    <w:rsid w:val="00BB789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9D5D1" w:themeFill="accent6" w:themeFillTint="33"/>
    </w:tcPr>
    <w:tblStylePr w:type="firstRow">
      <w:rPr>
        <w:b/>
        <w:bCs/>
      </w:rPr>
      <w:tblPr/>
      <w:tcPr>
        <w:shd w:val="clear" w:color="auto" w:fill="F3ABA4" w:themeFill="accent6" w:themeFillTint="66"/>
      </w:tcPr>
    </w:tblStylePr>
    <w:tblStylePr w:type="lastRow">
      <w:rPr>
        <w:b/>
        <w:bCs/>
        <w:color w:val="000000" w:themeColor="text1"/>
      </w:rPr>
      <w:tblPr/>
      <w:tcPr>
        <w:shd w:val="clear" w:color="auto" w:fill="F3ABA4" w:themeFill="accent6" w:themeFillTint="66"/>
      </w:tcPr>
    </w:tblStylePr>
    <w:tblStylePr w:type="firstCol">
      <w:rPr>
        <w:color w:val="FFFFFF" w:themeColor="background1"/>
      </w:rPr>
      <w:tblPr/>
      <w:tcPr>
        <w:shd w:val="clear" w:color="auto" w:fill="A72316" w:themeFill="accent6" w:themeFillShade="BF"/>
      </w:tcPr>
    </w:tblStylePr>
    <w:tblStylePr w:type="lastCol">
      <w:rPr>
        <w:color w:val="FFFFFF" w:themeColor="background1"/>
      </w:rPr>
      <w:tblPr/>
      <w:tcPr>
        <w:shd w:val="clear" w:color="auto" w:fill="A72316" w:themeFill="accent6" w:themeFillShade="BF"/>
      </w:tcPr>
    </w:tblStylePr>
    <w:tblStylePr w:type="band1Vert">
      <w:tblPr/>
      <w:tcPr>
        <w:shd w:val="clear" w:color="auto" w:fill="F0978E" w:themeFill="accent6" w:themeFillTint="7F"/>
      </w:tcPr>
    </w:tblStylePr>
    <w:tblStylePr w:type="band1Horz">
      <w:tblPr/>
      <w:tcPr>
        <w:shd w:val="clear" w:color="auto" w:fill="F0978E" w:themeFill="accent6" w:themeFillTint="7F"/>
      </w:tcPr>
    </w:tblStylePr>
  </w:style>
  <w:style w:type="table" w:customStyle="1" w:styleId="ColorfulList1">
    <w:name w:val="Colorful List1"/>
    <w:basedOn w:val="TableNormal"/>
    <w:hidden/>
    <w:uiPriority w:val="72"/>
    <w:rsid w:val="00BB789B"/>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9100" w:themeFill="accent2" w:themeFillShade="CC"/>
      </w:tcPr>
    </w:tblStylePr>
    <w:tblStylePr w:type="lastRow">
      <w:rPr>
        <w:b/>
        <w:bCs/>
        <w:color w:val="CC9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hidden/>
    <w:uiPriority w:val="72"/>
    <w:rsid w:val="00BB789B"/>
    <w:pPr>
      <w:spacing w:after="0" w:line="240" w:lineRule="auto"/>
    </w:pPr>
    <w:rPr>
      <w:color w:val="000000" w:themeColor="text1"/>
    </w:rPr>
    <w:tblPr>
      <w:tblStyleRowBandSize w:val="1"/>
      <w:tblStyleColBandSize w:val="1"/>
    </w:tblPr>
    <w:tcPr>
      <w:shd w:val="clear" w:color="auto" w:fill="FFEFE2" w:themeFill="accent1" w:themeFillTint="19"/>
    </w:tcPr>
    <w:tblStylePr w:type="firstRow">
      <w:rPr>
        <w:b/>
        <w:bCs/>
        <w:color w:val="FFFFFF" w:themeColor="background1"/>
      </w:rPr>
      <w:tblPr/>
      <w:tcPr>
        <w:tcBorders>
          <w:bottom w:val="single" w:sz="12" w:space="0" w:color="FFFFFF" w:themeColor="background1"/>
        </w:tcBorders>
        <w:shd w:val="clear" w:color="auto" w:fill="CC9100" w:themeFill="accent2" w:themeFillShade="CC"/>
      </w:tcPr>
    </w:tblStylePr>
    <w:tblStylePr w:type="lastRow">
      <w:rPr>
        <w:b/>
        <w:bCs/>
        <w:color w:val="CC9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9B7" w:themeFill="accent1" w:themeFillTint="3F"/>
      </w:tcPr>
    </w:tblStylePr>
    <w:tblStylePr w:type="band1Horz">
      <w:tblPr/>
      <w:tcPr>
        <w:shd w:val="clear" w:color="auto" w:fill="FFE0C5" w:themeFill="accent1" w:themeFillTint="33"/>
      </w:tcPr>
    </w:tblStylePr>
  </w:style>
  <w:style w:type="table" w:styleId="ColorfulList-Accent2">
    <w:name w:val="Colorful List Accent 2"/>
    <w:basedOn w:val="TableNormal"/>
    <w:hidden/>
    <w:uiPriority w:val="72"/>
    <w:rsid w:val="00BB789B"/>
    <w:pPr>
      <w:spacing w:after="0" w:line="240" w:lineRule="auto"/>
    </w:pPr>
    <w:rPr>
      <w:color w:val="000000" w:themeColor="text1"/>
    </w:rPr>
    <w:tblPr>
      <w:tblStyleRowBandSize w:val="1"/>
      <w:tblStyleColBandSize w:val="1"/>
    </w:tblPr>
    <w:tcPr>
      <w:shd w:val="clear" w:color="auto" w:fill="FFF7E6" w:themeFill="accent2" w:themeFillTint="19"/>
    </w:tcPr>
    <w:tblStylePr w:type="firstRow">
      <w:rPr>
        <w:b/>
        <w:bCs/>
        <w:color w:val="FFFFFF" w:themeColor="background1"/>
      </w:rPr>
      <w:tblPr/>
      <w:tcPr>
        <w:tcBorders>
          <w:bottom w:val="single" w:sz="12" w:space="0" w:color="FFFFFF" w:themeColor="background1"/>
        </w:tcBorders>
        <w:shd w:val="clear" w:color="auto" w:fill="CC9100" w:themeFill="accent2" w:themeFillShade="CC"/>
      </w:tcPr>
    </w:tblStylePr>
    <w:tblStylePr w:type="lastRow">
      <w:rPr>
        <w:b/>
        <w:bCs/>
        <w:color w:val="CC9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CC0" w:themeFill="accent2" w:themeFillTint="3F"/>
      </w:tcPr>
    </w:tblStylePr>
    <w:tblStylePr w:type="band1Horz">
      <w:tblPr/>
      <w:tcPr>
        <w:shd w:val="clear" w:color="auto" w:fill="FFF0CC" w:themeFill="accent2" w:themeFillTint="33"/>
      </w:tcPr>
    </w:tblStylePr>
  </w:style>
  <w:style w:type="table" w:styleId="ColorfulList-Accent3">
    <w:name w:val="Colorful List Accent 3"/>
    <w:basedOn w:val="TableNormal"/>
    <w:hidden/>
    <w:uiPriority w:val="72"/>
    <w:rsid w:val="00BB789B"/>
    <w:pPr>
      <w:spacing w:after="0" w:line="240" w:lineRule="auto"/>
    </w:pPr>
    <w:rPr>
      <w:color w:val="000000" w:themeColor="text1"/>
    </w:rPr>
    <w:tblPr>
      <w:tblStyleRowBandSize w:val="1"/>
      <w:tblStyleColBandSize w:val="1"/>
    </w:tblPr>
    <w:tcPr>
      <w:shd w:val="clear" w:color="auto" w:fill="F5E3E2" w:themeFill="accent3" w:themeFillTint="19"/>
    </w:tcPr>
    <w:tblStylePr w:type="firstRow">
      <w:rPr>
        <w:b/>
        <w:bCs/>
        <w:color w:val="FFFFFF" w:themeColor="background1"/>
      </w:rPr>
      <w:tblPr/>
      <w:tcPr>
        <w:tcBorders>
          <w:bottom w:val="single" w:sz="12" w:space="0" w:color="FFFFFF" w:themeColor="background1"/>
        </w:tcBorders>
        <w:shd w:val="clear" w:color="auto" w:fill="D63C56" w:themeFill="accent4" w:themeFillShade="CC"/>
      </w:tcPr>
    </w:tblStylePr>
    <w:tblStylePr w:type="lastRow">
      <w:rPr>
        <w:b/>
        <w:bCs/>
        <w:color w:val="D63C56"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BAB8" w:themeFill="accent3" w:themeFillTint="3F"/>
      </w:tcPr>
    </w:tblStylePr>
    <w:tblStylePr w:type="band1Horz">
      <w:tblPr/>
      <w:tcPr>
        <w:shd w:val="clear" w:color="auto" w:fill="EBC7C5" w:themeFill="accent3" w:themeFillTint="33"/>
      </w:tcPr>
    </w:tblStylePr>
  </w:style>
  <w:style w:type="table" w:styleId="ColorfulList-Accent4">
    <w:name w:val="Colorful List Accent 4"/>
    <w:basedOn w:val="TableNormal"/>
    <w:hidden/>
    <w:uiPriority w:val="72"/>
    <w:rsid w:val="00BB789B"/>
    <w:pPr>
      <w:spacing w:after="0" w:line="240" w:lineRule="auto"/>
    </w:pPr>
    <w:rPr>
      <w:color w:val="000000" w:themeColor="text1"/>
    </w:rPr>
    <w:tblPr>
      <w:tblStyleRowBandSize w:val="1"/>
      <w:tblStyleColBandSize w:val="1"/>
    </w:tblPr>
    <w:tcPr>
      <w:shd w:val="clear" w:color="auto" w:fill="FCF1F3" w:themeFill="accent4" w:themeFillTint="19"/>
    </w:tcPr>
    <w:tblStylePr w:type="firstRow">
      <w:rPr>
        <w:b/>
        <w:bCs/>
        <w:color w:val="FFFFFF" w:themeColor="background1"/>
      </w:rPr>
      <w:tblPr/>
      <w:tcPr>
        <w:tcBorders>
          <w:bottom w:val="single" w:sz="12" w:space="0" w:color="FFFFFF" w:themeColor="background1"/>
        </w:tcBorders>
        <w:shd w:val="clear" w:color="auto" w:fill="4C1B19" w:themeFill="accent3" w:themeFillShade="CC"/>
      </w:tcPr>
    </w:tblStylePr>
    <w:tblStylePr w:type="lastRow">
      <w:rPr>
        <w:b/>
        <w:bCs/>
        <w:color w:val="4C1B19"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DCE1" w:themeFill="accent4" w:themeFillTint="3F"/>
      </w:tcPr>
    </w:tblStylePr>
    <w:tblStylePr w:type="band1Horz">
      <w:tblPr/>
      <w:tcPr>
        <w:shd w:val="clear" w:color="auto" w:fill="F9E3E6" w:themeFill="accent4" w:themeFillTint="33"/>
      </w:tcPr>
    </w:tblStylePr>
  </w:style>
  <w:style w:type="table" w:styleId="ColorfulList-Accent5">
    <w:name w:val="Colorful List Accent 5"/>
    <w:basedOn w:val="TableNormal"/>
    <w:hidden/>
    <w:uiPriority w:val="72"/>
    <w:rsid w:val="00BB789B"/>
    <w:pPr>
      <w:spacing w:after="0" w:line="240" w:lineRule="auto"/>
    </w:pPr>
    <w:rPr>
      <w:color w:val="000000" w:themeColor="text1"/>
    </w:rPr>
    <w:tblPr>
      <w:tblStyleRowBandSize w:val="1"/>
      <w:tblStyleColBandSize w:val="1"/>
    </w:tblPr>
    <w:tcPr>
      <w:shd w:val="clear" w:color="auto" w:fill="FAE5E5" w:themeFill="accent5" w:themeFillTint="19"/>
    </w:tcPr>
    <w:tblStylePr w:type="firstRow">
      <w:rPr>
        <w:b/>
        <w:bCs/>
        <w:color w:val="FFFFFF" w:themeColor="background1"/>
      </w:rPr>
      <w:tblPr/>
      <w:tcPr>
        <w:tcBorders>
          <w:bottom w:val="single" w:sz="12" w:space="0" w:color="FFFFFF" w:themeColor="background1"/>
        </w:tcBorders>
        <w:shd w:val="clear" w:color="auto" w:fill="B22618" w:themeFill="accent6" w:themeFillShade="CC"/>
      </w:tcPr>
    </w:tblStylePr>
    <w:tblStylePr w:type="lastRow">
      <w:rPr>
        <w:b/>
        <w:bCs/>
        <w:color w:val="B2261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BDBD" w:themeFill="accent5" w:themeFillTint="3F"/>
      </w:tcPr>
    </w:tblStylePr>
    <w:tblStylePr w:type="band1Horz">
      <w:tblPr/>
      <w:tcPr>
        <w:shd w:val="clear" w:color="auto" w:fill="F4CACA" w:themeFill="accent5" w:themeFillTint="33"/>
      </w:tcPr>
    </w:tblStylePr>
  </w:style>
  <w:style w:type="table" w:styleId="ColorfulList-Accent6">
    <w:name w:val="Colorful List Accent 6"/>
    <w:basedOn w:val="TableNormal"/>
    <w:hidden/>
    <w:uiPriority w:val="72"/>
    <w:rsid w:val="00BB789B"/>
    <w:pPr>
      <w:spacing w:after="0" w:line="240" w:lineRule="auto"/>
    </w:pPr>
    <w:rPr>
      <w:color w:val="000000" w:themeColor="text1"/>
    </w:rPr>
    <w:tblPr>
      <w:tblStyleRowBandSize w:val="1"/>
      <w:tblStyleColBandSize w:val="1"/>
    </w:tblPr>
    <w:tcPr>
      <w:shd w:val="clear" w:color="auto" w:fill="FCEAE8" w:themeFill="accent6" w:themeFillTint="19"/>
    </w:tcPr>
    <w:tblStylePr w:type="firstRow">
      <w:rPr>
        <w:b/>
        <w:bCs/>
        <w:color w:val="FFFFFF" w:themeColor="background1"/>
      </w:rPr>
      <w:tblPr/>
      <w:tcPr>
        <w:tcBorders>
          <w:bottom w:val="single" w:sz="12" w:space="0" w:color="FFFFFF" w:themeColor="background1"/>
        </w:tcBorders>
        <w:shd w:val="clear" w:color="auto" w:fill="821919" w:themeFill="accent5" w:themeFillShade="CC"/>
      </w:tcPr>
    </w:tblStylePr>
    <w:tblStylePr w:type="lastRow">
      <w:rPr>
        <w:b/>
        <w:bCs/>
        <w:color w:val="821919"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CBC7" w:themeFill="accent6" w:themeFillTint="3F"/>
      </w:tcPr>
    </w:tblStylePr>
    <w:tblStylePr w:type="band1Horz">
      <w:tblPr/>
      <w:tcPr>
        <w:shd w:val="clear" w:color="auto" w:fill="F9D5D1" w:themeFill="accent6" w:themeFillTint="33"/>
      </w:tcPr>
    </w:tblStylePr>
  </w:style>
  <w:style w:type="table" w:customStyle="1" w:styleId="ColorfulShading1">
    <w:name w:val="Colorful Shading1"/>
    <w:basedOn w:val="TableNormal"/>
    <w:hidden/>
    <w:uiPriority w:val="71"/>
    <w:rsid w:val="00BB789B"/>
    <w:pPr>
      <w:spacing w:after="0" w:line="240" w:lineRule="auto"/>
    </w:pPr>
    <w:rPr>
      <w:color w:val="000000" w:themeColor="text1"/>
    </w:rPr>
    <w:tblPr>
      <w:tblStyleRowBandSize w:val="1"/>
      <w:tblStyleColBandSize w:val="1"/>
      <w:tblBorders>
        <w:top w:val="single" w:sz="24" w:space="0" w:color="FFB6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B6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hidden/>
    <w:uiPriority w:val="71"/>
    <w:rsid w:val="00BB789B"/>
    <w:pPr>
      <w:spacing w:after="0" w:line="240" w:lineRule="auto"/>
    </w:pPr>
    <w:rPr>
      <w:color w:val="000000" w:themeColor="text1"/>
    </w:rPr>
    <w:tblPr>
      <w:tblStyleRowBandSize w:val="1"/>
      <w:tblStyleColBandSize w:val="1"/>
      <w:tblBorders>
        <w:top w:val="single" w:sz="24" w:space="0" w:color="FFB600" w:themeColor="accent2"/>
        <w:left w:val="single" w:sz="4" w:space="0" w:color="DC6900" w:themeColor="accent1"/>
        <w:bottom w:val="single" w:sz="4" w:space="0" w:color="DC6900" w:themeColor="accent1"/>
        <w:right w:val="single" w:sz="4" w:space="0" w:color="DC6900" w:themeColor="accent1"/>
        <w:insideH w:val="single" w:sz="4" w:space="0" w:color="FFFFFF" w:themeColor="background1"/>
        <w:insideV w:val="single" w:sz="4" w:space="0" w:color="FFFFFF" w:themeColor="background1"/>
      </w:tblBorders>
    </w:tblPr>
    <w:tcPr>
      <w:shd w:val="clear" w:color="auto" w:fill="FFEFE2" w:themeFill="accent1" w:themeFillTint="19"/>
    </w:tcPr>
    <w:tblStylePr w:type="firstRow">
      <w:rPr>
        <w:b/>
        <w:bCs/>
      </w:rPr>
      <w:tblPr/>
      <w:tcPr>
        <w:tcBorders>
          <w:top w:val="nil"/>
          <w:left w:val="nil"/>
          <w:bottom w:val="single" w:sz="24" w:space="0" w:color="FFB6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43E00" w:themeFill="accent1" w:themeFillShade="99"/>
      </w:tcPr>
    </w:tblStylePr>
    <w:tblStylePr w:type="firstCol">
      <w:rPr>
        <w:color w:val="FFFFFF" w:themeColor="background1"/>
      </w:rPr>
      <w:tblPr/>
      <w:tcPr>
        <w:tcBorders>
          <w:top w:val="nil"/>
          <w:left w:val="nil"/>
          <w:bottom w:val="nil"/>
          <w:right w:val="nil"/>
          <w:insideH w:val="single" w:sz="4" w:space="0" w:color="843E00" w:themeColor="accent1" w:themeShade="99"/>
          <w:insideV w:val="nil"/>
        </w:tcBorders>
        <w:shd w:val="clear" w:color="auto" w:fill="843E0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843E00" w:themeFill="accent1" w:themeFillShade="99"/>
      </w:tcPr>
    </w:tblStylePr>
    <w:tblStylePr w:type="band1Vert">
      <w:tblPr/>
      <w:tcPr>
        <w:shd w:val="clear" w:color="auto" w:fill="FFC28B" w:themeFill="accent1" w:themeFillTint="66"/>
      </w:tcPr>
    </w:tblStylePr>
    <w:tblStylePr w:type="band1Horz">
      <w:tblPr/>
      <w:tcPr>
        <w:shd w:val="clear" w:color="auto" w:fill="FFB26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hidden/>
    <w:uiPriority w:val="71"/>
    <w:rsid w:val="00BB789B"/>
    <w:pPr>
      <w:spacing w:after="0" w:line="240" w:lineRule="auto"/>
    </w:pPr>
    <w:rPr>
      <w:color w:val="000000" w:themeColor="text1"/>
    </w:rPr>
    <w:tblPr>
      <w:tblStyleRowBandSize w:val="1"/>
      <w:tblStyleColBandSize w:val="1"/>
      <w:tblBorders>
        <w:top w:val="single" w:sz="24" w:space="0" w:color="FFB600" w:themeColor="accent2"/>
        <w:left w:val="single" w:sz="4" w:space="0" w:color="FFB600" w:themeColor="accent2"/>
        <w:bottom w:val="single" w:sz="4" w:space="0" w:color="FFB600" w:themeColor="accent2"/>
        <w:right w:val="single" w:sz="4" w:space="0" w:color="FFB600" w:themeColor="accent2"/>
        <w:insideH w:val="single" w:sz="4" w:space="0" w:color="FFFFFF" w:themeColor="background1"/>
        <w:insideV w:val="single" w:sz="4" w:space="0" w:color="FFFFFF" w:themeColor="background1"/>
      </w:tblBorders>
    </w:tblPr>
    <w:tcPr>
      <w:shd w:val="clear" w:color="auto" w:fill="FFF7E6" w:themeFill="accent2" w:themeFillTint="19"/>
    </w:tcPr>
    <w:tblStylePr w:type="firstRow">
      <w:rPr>
        <w:b/>
        <w:bCs/>
      </w:rPr>
      <w:tblPr/>
      <w:tcPr>
        <w:tcBorders>
          <w:top w:val="nil"/>
          <w:left w:val="nil"/>
          <w:bottom w:val="single" w:sz="24" w:space="0" w:color="FFB6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6D00" w:themeFill="accent2" w:themeFillShade="99"/>
      </w:tcPr>
    </w:tblStylePr>
    <w:tblStylePr w:type="firstCol">
      <w:rPr>
        <w:color w:val="FFFFFF" w:themeColor="background1"/>
      </w:rPr>
      <w:tblPr/>
      <w:tcPr>
        <w:tcBorders>
          <w:top w:val="nil"/>
          <w:left w:val="nil"/>
          <w:bottom w:val="nil"/>
          <w:right w:val="nil"/>
          <w:insideH w:val="single" w:sz="4" w:space="0" w:color="996D00" w:themeColor="accent2" w:themeShade="99"/>
          <w:insideV w:val="nil"/>
        </w:tcBorders>
        <w:shd w:val="clear" w:color="auto" w:fill="996D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6D00" w:themeFill="accent2" w:themeFillShade="99"/>
      </w:tcPr>
    </w:tblStylePr>
    <w:tblStylePr w:type="band1Vert">
      <w:tblPr/>
      <w:tcPr>
        <w:shd w:val="clear" w:color="auto" w:fill="FFE199" w:themeFill="accent2" w:themeFillTint="66"/>
      </w:tcPr>
    </w:tblStylePr>
    <w:tblStylePr w:type="band1Horz">
      <w:tblPr/>
      <w:tcPr>
        <w:shd w:val="clear" w:color="auto" w:fill="FFDA8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hidden/>
    <w:uiPriority w:val="71"/>
    <w:rsid w:val="00BB789B"/>
    <w:pPr>
      <w:spacing w:after="0" w:line="240" w:lineRule="auto"/>
    </w:pPr>
    <w:rPr>
      <w:color w:val="000000" w:themeColor="text1"/>
    </w:rPr>
    <w:tblPr>
      <w:tblStyleRowBandSize w:val="1"/>
      <w:tblStyleColBandSize w:val="1"/>
      <w:tblBorders>
        <w:top w:val="single" w:sz="24" w:space="0" w:color="E27588" w:themeColor="accent4"/>
        <w:left w:val="single" w:sz="4" w:space="0" w:color="602320" w:themeColor="accent3"/>
        <w:bottom w:val="single" w:sz="4" w:space="0" w:color="602320" w:themeColor="accent3"/>
        <w:right w:val="single" w:sz="4" w:space="0" w:color="602320" w:themeColor="accent3"/>
        <w:insideH w:val="single" w:sz="4" w:space="0" w:color="FFFFFF" w:themeColor="background1"/>
        <w:insideV w:val="single" w:sz="4" w:space="0" w:color="FFFFFF" w:themeColor="background1"/>
      </w:tblBorders>
    </w:tblPr>
    <w:tcPr>
      <w:shd w:val="clear" w:color="auto" w:fill="F5E3E2" w:themeFill="accent3" w:themeFillTint="19"/>
    </w:tcPr>
    <w:tblStylePr w:type="firstRow">
      <w:rPr>
        <w:b/>
        <w:bCs/>
      </w:rPr>
      <w:tblPr/>
      <w:tcPr>
        <w:tcBorders>
          <w:top w:val="nil"/>
          <w:left w:val="nil"/>
          <w:bottom w:val="single" w:sz="24" w:space="0" w:color="E27588"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91413" w:themeFill="accent3" w:themeFillShade="99"/>
      </w:tcPr>
    </w:tblStylePr>
    <w:tblStylePr w:type="firstCol">
      <w:rPr>
        <w:color w:val="FFFFFF" w:themeColor="background1"/>
      </w:rPr>
      <w:tblPr/>
      <w:tcPr>
        <w:tcBorders>
          <w:top w:val="nil"/>
          <w:left w:val="nil"/>
          <w:bottom w:val="nil"/>
          <w:right w:val="nil"/>
          <w:insideH w:val="single" w:sz="4" w:space="0" w:color="391413" w:themeColor="accent3" w:themeShade="99"/>
          <w:insideV w:val="nil"/>
        </w:tcBorders>
        <w:shd w:val="clear" w:color="auto" w:fill="39141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91413" w:themeFill="accent3" w:themeFillShade="99"/>
      </w:tcPr>
    </w:tblStylePr>
    <w:tblStylePr w:type="band1Vert">
      <w:tblPr/>
      <w:tcPr>
        <w:shd w:val="clear" w:color="auto" w:fill="D88F8C" w:themeFill="accent3" w:themeFillTint="66"/>
      </w:tcPr>
    </w:tblStylePr>
    <w:tblStylePr w:type="band1Horz">
      <w:tblPr/>
      <w:tcPr>
        <w:shd w:val="clear" w:color="auto" w:fill="CF7470" w:themeFill="accent3" w:themeFillTint="7F"/>
      </w:tcPr>
    </w:tblStylePr>
  </w:style>
  <w:style w:type="table" w:styleId="ColorfulShading-Accent4">
    <w:name w:val="Colorful Shading Accent 4"/>
    <w:basedOn w:val="TableNormal"/>
    <w:hidden/>
    <w:uiPriority w:val="71"/>
    <w:rsid w:val="00BB789B"/>
    <w:pPr>
      <w:spacing w:after="0" w:line="240" w:lineRule="auto"/>
    </w:pPr>
    <w:rPr>
      <w:color w:val="000000" w:themeColor="text1"/>
    </w:rPr>
    <w:tblPr>
      <w:tblStyleRowBandSize w:val="1"/>
      <w:tblStyleColBandSize w:val="1"/>
      <w:tblBorders>
        <w:top w:val="single" w:sz="24" w:space="0" w:color="602320" w:themeColor="accent3"/>
        <w:left w:val="single" w:sz="4" w:space="0" w:color="E27588" w:themeColor="accent4"/>
        <w:bottom w:val="single" w:sz="4" w:space="0" w:color="E27588" w:themeColor="accent4"/>
        <w:right w:val="single" w:sz="4" w:space="0" w:color="E27588" w:themeColor="accent4"/>
        <w:insideH w:val="single" w:sz="4" w:space="0" w:color="FFFFFF" w:themeColor="background1"/>
        <w:insideV w:val="single" w:sz="4" w:space="0" w:color="FFFFFF" w:themeColor="background1"/>
      </w:tblBorders>
    </w:tblPr>
    <w:tcPr>
      <w:shd w:val="clear" w:color="auto" w:fill="FCF1F3" w:themeFill="accent4" w:themeFillTint="19"/>
    </w:tcPr>
    <w:tblStylePr w:type="firstRow">
      <w:rPr>
        <w:b/>
        <w:bCs/>
      </w:rPr>
      <w:tblPr/>
      <w:tcPr>
        <w:tcBorders>
          <w:top w:val="nil"/>
          <w:left w:val="nil"/>
          <w:bottom w:val="single" w:sz="24" w:space="0" w:color="602320"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A9233A" w:themeFill="accent4" w:themeFillShade="99"/>
      </w:tcPr>
    </w:tblStylePr>
    <w:tblStylePr w:type="firstCol">
      <w:rPr>
        <w:color w:val="FFFFFF" w:themeColor="background1"/>
      </w:rPr>
      <w:tblPr/>
      <w:tcPr>
        <w:tcBorders>
          <w:top w:val="nil"/>
          <w:left w:val="nil"/>
          <w:bottom w:val="nil"/>
          <w:right w:val="nil"/>
          <w:insideH w:val="single" w:sz="4" w:space="0" w:color="A9233A" w:themeColor="accent4" w:themeShade="99"/>
          <w:insideV w:val="nil"/>
        </w:tcBorders>
        <w:shd w:val="clear" w:color="auto" w:fill="A9233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A9233A" w:themeFill="accent4" w:themeFillShade="99"/>
      </w:tcPr>
    </w:tblStylePr>
    <w:tblStylePr w:type="band1Vert">
      <w:tblPr/>
      <w:tcPr>
        <w:shd w:val="clear" w:color="auto" w:fill="F3C7CF" w:themeFill="accent4" w:themeFillTint="66"/>
      </w:tcPr>
    </w:tblStylePr>
    <w:tblStylePr w:type="band1Horz">
      <w:tblPr/>
      <w:tcPr>
        <w:shd w:val="clear" w:color="auto" w:fill="F0BAC3"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hidden/>
    <w:uiPriority w:val="71"/>
    <w:rsid w:val="00BB789B"/>
    <w:pPr>
      <w:spacing w:after="0" w:line="240" w:lineRule="auto"/>
    </w:pPr>
    <w:rPr>
      <w:color w:val="000000" w:themeColor="text1"/>
    </w:rPr>
    <w:tblPr>
      <w:tblStyleRowBandSize w:val="1"/>
      <w:tblStyleColBandSize w:val="1"/>
      <w:tblBorders>
        <w:top w:val="single" w:sz="24" w:space="0" w:color="E0301E" w:themeColor="accent6"/>
        <w:left w:val="single" w:sz="4" w:space="0" w:color="A32020" w:themeColor="accent5"/>
        <w:bottom w:val="single" w:sz="4" w:space="0" w:color="A32020" w:themeColor="accent5"/>
        <w:right w:val="single" w:sz="4" w:space="0" w:color="A32020" w:themeColor="accent5"/>
        <w:insideH w:val="single" w:sz="4" w:space="0" w:color="FFFFFF" w:themeColor="background1"/>
        <w:insideV w:val="single" w:sz="4" w:space="0" w:color="FFFFFF" w:themeColor="background1"/>
      </w:tblBorders>
    </w:tblPr>
    <w:tcPr>
      <w:shd w:val="clear" w:color="auto" w:fill="FAE5E5" w:themeFill="accent5" w:themeFillTint="19"/>
    </w:tcPr>
    <w:tblStylePr w:type="firstRow">
      <w:rPr>
        <w:b/>
        <w:bCs/>
      </w:rPr>
      <w:tblPr/>
      <w:tcPr>
        <w:tcBorders>
          <w:top w:val="nil"/>
          <w:left w:val="nil"/>
          <w:bottom w:val="single" w:sz="24" w:space="0" w:color="E0301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11313" w:themeFill="accent5" w:themeFillShade="99"/>
      </w:tcPr>
    </w:tblStylePr>
    <w:tblStylePr w:type="firstCol">
      <w:rPr>
        <w:color w:val="FFFFFF" w:themeColor="background1"/>
      </w:rPr>
      <w:tblPr/>
      <w:tcPr>
        <w:tcBorders>
          <w:top w:val="nil"/>
          <w:left w:val="nil"/>
          <w:bottom w:val="nil"/>
          <w:right w:val="nil"/>
          <w:insideH w:val="single" w:sz="4" w:space="0" w:color="611313" w:themeColor="accent5" w:themeShade="99"/>
          <w:insideV w:val="nil"/>
        </w:tcBorders>
        <w:shd w:val="clear" w:color="auto" w:fill="61131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611313" w:themeFill="accent5" w:themeFillShade="99"/>
      </w:tcPr>
    </w:tblStylePr>
    <w:tblStylePr w:type="band1Vert">
      <w:tblPr/>
      <w:tcPr>
        <w:shd w:val="clear" w:color="auto" w:fill="EA9595" w:themeFill="accent5" w:themeFillTint="66"/>
      </w:tcPr>
    </w:tblStylePr>
    <w:tblStylePr w:type="band1Horz">
      <w:tblPr/>
      <w:tcPr>
        <w:shd w:val="clear" w:color="auto" w:fill="E57B7B"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hidden/>
    <w:uiPriority w:val="71"/>
    <w:rsid w:val="00BB789B"/>
    <w:pPr>
      <w:spacing w:after="0" w:line="240" w:lineRule="auto"/>
    </w:pPr>
    <w:rPr>
      <w:color w:val="000000" w:themeColor="text1"/>
    </w:rPr>
    <w:tblPr>
      <w:tblStyleRowBandSize w:val="1"/>
      <w:tblStyleColBandSize w:val="1"/>
      <w:tblBorders>
        <w:top w:val="single" w:sz="24" w:space="0" w:color="A32020" w:themeColor="accent5"/>
        <w:left w:val="single" w:sz="4" w:space="0" w:color="E0301E" w:themeColor="accent6"/>
        <w:bottom w:val="single" w:sz="4" w:space="0" w:color="E0301E" w:themeColor="accent6"/>
        <w:right w:val="single" w:sz="4" w:space="0" w:color="E0301E" w:themeColor="accent6"/>
        <w:insideH w:val="single" w:sz="4" w:space="0" w:color="FFFFFF" w:themeColor="background1"/>
        <w:insideV w:val="single" w:sz="4" w:space="0" w:color="FFFFFF" w:themeColor="background1"/>
      </w:tblBorders>
    </w:tblPr>
    <w:tcPr>
      <w:shd w:val="clear" w:color="auto" w:fill="FCEAE8" w:themeFill="accent6" w:themeFillTint="19"/>
    </w:tcPr>
    <w:tblStylePr w:type="firstRow">
      <w:rPr>
        <w:b/>
        <w:bCs/>
      </w:rPr>
      <w:tblPr/>
      <w:tcPr>
        <w:tcBorders>
          <w:top w:val="nil"/>
          <w:left w:val="nil"/>
          <w:bottom w:val="single" w:sz="24" w:space="0" w:color="A3202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61C12" w:themeFill="accent6" w:themeFillShade="99"/>
      </w:tcPr>
    </w:tblStylePr>
    <w:tblStylePr w:type="firstCol">
      <w:rPr>
        <w:color w:val="FFFFFF" w:themeColor="background1"/>
      </w:rPr>
      <w:tblPr/>
      <w:tcPr>
        <w:tcBorders>
          <w:top w:val="nil"/>
          <w:left w:val="nil"/>
          <w:bottom w:val="nil"/>
          <w:right w:val="nil"/>
          <w:insideH w:val="single" w:sz="4" w:space="0" w:color="861C12" w:themeColor="accent6" w:themeShade="99"/>
          <w:insideV w:val="nil"/>
        </w:tcBorders>
        <w:shd w:val="clear" w:color="auto" w:fill="861C12"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861C12" w:themeFill="accent6" w:themeFillShade="99"/>
      </w:tcPr>
    </w:tblStylePr>
    <w:tblStylePr w:type="band1Vert">
      <w:tblPr/>
      <w:tcPr>
        <w:shd w:val="clear" w:color="auto" w:fill="F3ABA4" w:themeFill="accent6" w:themeFillTint="66"/>
      </w:tcPr>
    </w:tblStylePr>
    <w:tblStylePr w:type="band1Horz">
      <w:tblPr/>
      <w:tcPr>
        <w:shd w:val="clear" w:color="auto" w:fill="F0978E"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hidden/>
    <w:uiPriority w:val="99"/>
    <w:semiHidden/>
    <w:unhideWhenUsed/>
    <w:rsid w:val="00BB789B"/>
    <w:rPr>
      <w:sz w:val="16"/>
      <w:szCs w:val="16"/>
    </w:rPr>
  </w:style>
  <w:style w:type="table" w:customStyle="1" w:styleId="DarkList1">
    <w:name w:val="Dark List1"/>
    <w:basedOn w:val="TableNormal"/>
    <w:hidden/>
    <w:uiPriority w:val="70"/>
    <w:rsid w:val="00BB789B"/>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hidden/>
    <w:uiPriority w:val="70"/>
    <w:rsid w:val="00BB789B"/>
    <w:pPr>
      <w:spacing w:after="0" w:line="240" w:lineRule="auto"/>
    </w:pPr>
    <w:rPr>
      <w:color w:val="FFFFFF" w:themeColor="background1"/>
    </w:rPr>
    <w:tblPr>
      <w:tblStyleRowBandSize w:val="1"/>
      <w:tblStyleColBandSize w:val="1"/>
    </w:tblPr>
    <w:tcPr>
      <w:shd w:val="clear" w:color="auto" w:fill="DC690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D330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A44E00"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A44E00" w:themeFill="accent1" w:themeFillShade="BF"/>
      </w:tcPr>
    </w:tblStylePr>
    <w:tblStylePr w:type="band1Vert">
      <w:tblPr/>
      <w:tcPr>
        <w:tcBorders>
          <w:top w:val="nil"/>
          <w:left w:val="nil"/>
          <w:bottom w:val="nil"/>
          <w:right w:val="nil"/>
          <w:insideH w:val="nil"/>
          <w:insideV w:val="nil"/>
        </w:tcBorders>
        <w:shd w:val="clear" w:color="auto" w:fill="A44E00" w:themeFill="accent1" w:themeFillShade="BF"/>
      </w:tcPr>
    </w:tblStylePr>
    <w:tblStylePr w:type="band1Horz">
      <w:tblPr/>
      <w:tcPr>
        <w:tcBorders>
          <w:top w:val="nil"/>
          <w:left w:val="nil"/>
          <w:bottom w:val="nil"/>
          <w:right w:val="nil"/>
          <w:insideH w:val="nil"/>
          <w:insideV w:val="nil"/>
        </w:tcBorders>
        <w:shd w:val="clear" w:color="auto" w:fill="A44E00" w:themeFill="accent1" w:themeFillShade="BF"/>
      </w:tcPr>
    </w:tblStylePr>
  </w:style>
  <w:style w:type="table" w:styleId="DarkList-Accent2">
    <w:name w:val="Dark List Accent 2"/>
    <w:basedOn w:val="TableNormal"/>
    <w:hidden/>
    <w:uiPriority w:val="70"/>
    <w:rsid w:val="00BB789B"/>
    <w:pPr>
      <w:spacing w:after="0" w:line="240" w:lineRule="auto"/>
    </w:pPr>
    <w:rPr>
      <w:color w:val="FFFFFF" w:themeColor="background1"/>
    </w:rPr>
    <w:tblPr>
      <w:tblStyleRowBandSize w:val="1"/>
      <w:tblStyleColBandSize w:val="1"/>
    </w:tblPr>
    <w:tcPr>
      <w:shd w:val="clear" w:color="auto" w:fill="FFB6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A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88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8800" w:themeFill="accent2" w:themeFillShade="BF"/>
      </w:tcPr>
    </w:tblStylePr>
    <w:tblStylePr w:type="band1Vert">
      <w:tblPr/>
      <w:tcPr>
        <w:tcBorders>
          <w:top w:val="nil"/>
          <w:left w:val="nil"/>
          <w:bottom w:val="nil"/>
          <w:right w:val="nil"/>
          <w:insideH w:val="nil"/>
          <w:insideV w:val="nil"/>
        </w:tcBorders>
        <w:shd w:val="clear" w:color="auto" w:fill="BF8800" w:themeFill="accent2" w:themeFillShade="BF"/>
      </w:tcPr>
    </w:tblStylePr>
    <w:tblStylePr w:type="band1Horz">
      <w:tblPr/>
      <w:tcPr>
        <w:tcBorders>
          <w:top w:val="nil"/>
          <w:left w:val="nil"/>
          <w:bottom w:val="nil"/>
          <w:right w:val="nil"/>
          <w:insideH w:val="nil"/>
          <w:insideV w:val="nil"/>
        </w:tcBorders>
        <w:shd w:val="clear" w:color="auto" w:fill="BF8800" w:themeFill="accent2" w:themeFillShade="BF"/>
      </w:tcPr>
    </w:tblStylePr>
  </w:style>
  <w:style w:type="table" w:styleId="DarkList-Accent3">
    <w:name w:val="Dark List Accent 3"/>
    <w:basedOn w:val="TableNormal"/>
    <w:hidden/>
    <w:uiPriority w:val="70"/>
    <w:rsid w:val="00BB789B"/>
    <w:pPr>
      <w:spacing w:after="0" w:line="240" w:lineRule="auto"/>
    </w:pPr>
    <w:rPr>
      <w:color w:val="FFFFFF" w:themeColor="background1"/>
    </w:rPr>
    <w:tblPr>
      <w:tblStyleRowBandSize w:val="1"/>
      <w:tblStyleColBandSize w:val="1"/>
    </w:tblPr>
    <w:tcPr>
      <w:shd w:val="clear" w:color="auto" w:fill="602320"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F1110"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71A18"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71A18" w:themeFill="accent3" w:themeFillShade="BF"/>
      </w:tcPr>
    </w:tblStylePr>
    <w:tblStylePr w:type="band1Vert">
      <w:tblPr/>
      <w:tcPr>
        <w:tcBorders>
          <w:top w:val="nil"/>
          <w:left w:val="nil"/>
          <w:bottom w:val="nil"/>
          <w:right w:val="nil"/>
          <w:insideH w:val="nil"/>
          <w:insideV w:val="nil"/>
        </w:tcBorders>
        <w:shd w:val="clear" w:color="auto" w:fill="471A18" w:themeFill="accent3" w:themeFillShade="BF"/>
      </w:tcPr>
    </w:tblStylePr>
    <w:tblStylePr w:type="band1Horz">
      <w:tblPr/>
      <w:tcPr>
        <w:tcBorders>
          <w:top w:val="nil"/>
          <w:left w:val="nil"/>
          <w:bottom w:val="nil"/>
          <w:right w:val="nil"/>
          <w:insideH w:val="nil"/>
          <w:insideV w:val="nil"/>
        </w:tcBorders>
        <w:shd w:val="clear" w:color="auto" w:fill="471A18" w:themeFill="accent3" w:themeFillShade="BF"/>
      </w:tcPr>
    </w:tblStylePr>
  </w:style>
  <w:style w:type="table" w:styleId="DarkList-Accent4">
    <w:name w:val="Dark List Accent 4"/>
    <w:basedOn w:val="TableNormal"/>
    <w:hidden/>
    <w:uiPriority w:val="70"/>
    <w:rsid w:val="00BB789B"/>
    <w:pPr>
      <w:spacing w:after="0" w:line="240" w:lineRule="auto"/>
    </w:pPr>
    <w:rPr>
      <w:color w:val="FFFFFF" w:themeColor="background1"/>
    </w:rPr>
    <w:tblPr>
      <w:tblStyleRowBandSize w:val="1"/>
      <w:tblStyleColBandSize w:val="1"/>
    </w:tblPr>
    <w:tcPr>
      <w:shd w:val="clear" w:color="auto" w:fill="E27588"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C1D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D32D4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D32D4A" w:themeFill="accent4" w:themeFillShade="BF"/>
      </w:tcPr>
    </w:tblStylePr>
    <w:tblStylePr w:type="band1Vert">
      <w:tblPr/>
      <w:tcPr>
        <w:tcBorders>
          <w:top w:val="nil"/>
          <w:left w:val="nil"/>
          <w:bottom w:val="nil"/>
          <w:right w:val="nil"/>
          <w:insideH w:val="nil"/>
          <w:insideV w:val="nil"/>
        </w:tcBorders>
        <w:shd w:val="clear" w:color="auto" w:fill="D32D4A" w:themeFill="accent4" w:themeFillShade="BF"/>
      </w:tcPr>
    </w:tblStylePr>
    <w:tblStylePr w:type="band1Horz">
      <w:tblPr/>
      <w:tcPr>
        <w:tcBorders>
          <w:top w:val="nil"/>
          <w:left w:val="nil"/>
          <w:bottom w:val="nil"/>
          <w:right w:val="nil"/>
          <w:insideH w:val="nil"/>
          <w:insideV w:val="nil"/>
        </w:tcBorders>
        <w:shd w:val="clear" w:color="auto" w:fill="D32D4A" w:themeFill="accent4" w:themeFillShade="BF"/>
      </w:tcPr>
    </w:tblStylePr>
  </w:style>
  <w:style w:type="table" w:styleId="DarkList-Accent5">
    <w:name w:val="Dark List Accent 5"/>
    <w:basedOn w:val="TableNormal"/>
    <w:hidden/>
    <w:uiPriority w:val="70"/>
    <w:rsid w:val="00BB789B"/>
    <w:pPr>
      <w:spacing w:after="0" w:line="240" w:lineRule="auto"/>
    </w:pPr>
    <w:rPr>
      <w:color w:val="FFFFFF" w:themeColor="background1"/>
    </w:rPr>
    <w:tblPr>
      <w:tblStyleRowBandSize w:val="1"/>
      <w:tblStyleColBandSize w:val="1"/>
    </w:tblPr>
    <w:tcPr>
      <w:shd w:val="clear" w:color="auto" w:fill="A3202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101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A1818"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A1818" w:themeFill="accent5" w:themeFillShade="BF"/>
      </w:tcPr>
    </w:tblStylePr>
    <w:tblStylePr w:type="band1Vert">
      <w:tblPr/>
      <w:tcPr>
        <w:tcBorders>
          <w:top w:val="nil"/>
          <w:left w:val="nil"/>
          <w:bottom w:val="nil"/>
          <w:right w:val="nil"/>
          <w:insideH w:val="nil"/>
          <w:insideV w:val="nil"/>
        </w:tcBorders>
        <w:shd w:val="clear" w:color="auto" w:fill="7A1818" w:themeFill="accent5" w:themeFillShade="BF"/>
      </w:tcPr>
    </w:tblStylePr>
    <w:tblStylePr w:type="band1Horz">
      <w:tblPr/>
      <w:tcPr>
        <w:tcBorders>
          <w:top w:val="nil"/>
          <w:left w:val="nil"/>
          <w:bottom w:val="nil"/>
          <w:right w:val="nil"/>
          <w:insideH w:val="nil"/>
          <w:insideV w:val="nil"/>
        </w:tcBorders>
        <w:shd w:val="clear" w:color="auto" w:fill="7A1818" w:themeFill="accent5" w:themeFillShade="BF"/>
      </w:tcPr>
    </w:tblStylePr>
  </w:style>
  <w:style w:type="table" w:styleId="DarkList-Accent6">
    <w:name w:val="Dark List Accent 6"/>
    <w:basedOn w:val="TableNormal"/>
    <w:hidden/>
    <w:uiPriority w:val="70"/>
    <w:rsid w:val="00BB789B"/>
    <w:pPr>
      <w:spacing w:after="0" w:line="240" w:lineRule="auto"/>
    </w:pPr>
    <w:rPr>
      <w:color w:val="FFFFFF" w:themeColor="background1"/>
    </w:rPr>
    <w:tblPr>
      <w:tblStyleRowBandSize w:val="1"/>
      <w:tblStyleColBandSize w:val="1"/>
    </w:tblPr>
    <w:tcPr>
      <w:shd w:val="clear" w:color="auto" w:fill="E0301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F170F"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A72316"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A72316" w:themeFill="accent6" w:themeFillShade="BF"/>
      </w:tcPr>
    </w:tblStylePr>
    <w:tblStylePr w:type="band1Vert">
      <w:tblPr/>
      <w:tcPr>
        <w:tcBorders>
          <w:top w:val="nil"/>
          <w:left w:val="nil"/>
          <w:bottom w:val="nil"/>
          <w:right w:val="nil"/>
          <w:insideH w:val="nil"/>
          <w:insideV w:val="nil"/>
        </w:tcBorders>
        <w:shd w:val="clear" w:color="auto" w:fill="A72316" w:themeFill="accent6" w:themeFillShade="BF"/>
      </w:tcPr>
    </w:tblStylePr>
    <w:tblStylePr w:type="band1Horz">
      <w:tblPr/>
      <w:tcPr>
        <w:tcBorders>
          <w:top w:val="nil"/>
          <w:left w:val="nil"/>
          <w:bottom w:val="nil"/>
          <w:right w:val="nil"/>
          <w:insideH w:val="nil"/>
          <w:insideV w:val="nil"/>
        </w:tcBorders>
        <w:shd w:val="clear" w:color="auto" w:fill="A72316" w:themeFill="accent6" w:themeFillShade="BF"/>
      </w:tcPr>
    </w:tblStylePr>
  </w:style>
  <w:style w:type="character" w:styleId="EndnoteReference">
    <w:name w:val="endnote reference"/>
    <w:basedOn w:val="DefaultParagraphFont"/>
    <w:hidden/>
    <w:uiPriority w:val="99"/>
    <w:semiHidden/>
    <w:unhideWhenUsed/>
    <w:rsid w:val="00BB789B"/>
    <w:rPr>
      <w:vertAlign w:val="superscript"/>
    </w:rPr>
  </w:style>
  <w:style w:type="character" w:styleId="FootnoteReference">
    <w:name w:val="footnote reference"/>
    <w:basedOn w:val="DefaultParagraphFont"/>
    <w:hidden/>
    <w:semiHidden/>
    <w:unhideWhenUsed/>
    <w:rsid w:val="00BB789B"/>
    <w:rPr>
      <w:vertAlign w:val="superscript"/>
    </w:rPr>
  </w:style>
  <w:style w:type="character" w:styleId="HTMLAcronym">
    <w:name w:val="HTML Acronym"/>
    <w:basedOn w:val="DefaultParagraphFont"/>
    <w:hidden/>
    <w:uiPriority w:val="99"/>
    <w:semiHidden/>
    <w:unhideWhenUsed/>
    <w:rsid w:val="00BB789B"/>
  </w:style>
  <w:style w:type="character" w:styleId="HTMLCite">
    <w:name w:val="HTML Cite"/>
    <w:basedOn w:val="DefaultParagraphFont"/>
    <w:hidden/>
    <w:uiPriority w:val="99"/>
    <w:semiHidden/>
    <w:unhideWhenUsed/>
    <w:rsid w:val="00BB789B"/>
    <w:rPr>
      <w:i/>
      <w:iCs/>
    </w:rPr>
  </w:style>
  <w:style w:type="character" w:styleId="HTMLDefinition">
    <w:name w:val="HTML Definition"/>
    <w:basedOn w:val="DefaultParagraphFont"/>
    <w:hidden/>
    <w:uiPriority w:val="99"/>
    <w:semiHidden/>
    <w:unhideWhenUsed/>
    <w:rsid w:val="00BB789B"/>
    <w:rPr>
      <w:i/>
      <w:iCs/>
    </w:rPr>
  </w:style>
  <w:style w:type="character" w:styleId="HTMLSample">
    <w:name w:val="HTML Sample"/>
    <w:basedOn w:val="DefaultParagraphFont"/>
    <w:hidden/>
    <w:uiPriority w:val="99"/>
    <w:semiHidden/>
    <w:unhideWhenUsed/>
    <w:rsid w:val="00BB789B"/>
    <w:rPr>
      <w:rFonts w:ascii="Consolas" w:hAnsi="Consolas"/>
      <w:sz w:val="24"/>
      <w:szCs w:val="24"/>
    </w:rPr>
  </w:style>
  <w:style w:type="character" w:styleId="HTMLVariable">
    <w:name w:val="HTML Variable"/>
    <w:basedOn w:val="DefaultParagraphFont"/>
    <w:hidden/>
    <w:uiPriority w:val="99"/>
    <w:semiHidden/>
    <w:unhideWhenUsed/>
    <w:rsid w:val="00BB789B"/>
    <w:rPr>
      <w:i/>
      <w:iCs/>
    </w:rPr>
  </w:style>
  <w:style w:type="table" w:customStyle="1" w:styleId="LightGrid1">
    <w:name w:val="Light Grid1"/>
    <w:basedOn w:val="TableNormal"/>
    <w:hidden/>
    <w:uiPriority w:val="62"/>
    <w:rsid w:val="00BB789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Accent11">
    <w:name w:val="Light Grid - Accent 11"/>
    <w:basedOn w:val="TableNormal"/>
    <w:hidden/>
    <w:uiPriority w:val="62"/>
    <w:rsid w:val="00BB789B"/>
    <w:pPr>
      <w:spacing w:after="0" w:line="240" w:lineRule="auto"/>
    </w:pPr>
    <w:tblPr>
      <w:tblStyleRowBandSize w:val="1"/>
      <w:tblStyleColBandSize w:val="1"/>
      <w:tblBorders>
        <w:top w:val="single" w:sz="8" w:space="0" w:color="DC6900" w:themeColor="accent1"/>
        <w:left w:val="single" w:sz="8" w:space="0" w:color="DC6900" w:themeColor="accent1"/>
        <w:bottom w:val="single" w:sz="8" w:space="0" w:color="DC6900" w:themeColor="accent1"/>
        <w:right w:val="single" w:sz="8" w:space="0" w:color="DC6900" w:themeColor="accent1"/>
        <w:insideH w:val="single" w:sz="8" w:space="0" w:color="DC6900" w:themeColor="accent1"/>
        <w:insideV w:val="single" w:sz="8" w:space="0" w:color="DC69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6900" w:themeColor="accent1"/>
          <w:left w:val="single" w:sz="8" w:space="0" w:color="DC6900" w:themeColor="accent1"/>
          <w:bottom w:val="single" w:sz="18" w:space="0" w:color="DC6900" w:themeColor="accent1"/>
          <w:right w:val="single" w:sz="8" w:space="0" w:color="DC6900" w:themeColor="accent1"/>
          <w:insideH w:val="nil"/>
          <w:insideV w:val="single" w:sz="8" w:space="0" w:color="DC69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6900" w:themeColor="accent1"/>
          <w:left w:val="single" w:sz="8" w:space="0" w:color="DC6900" w:themeColor="accent1"/>
          <w:bottom w:val="single" w:sz="8" w:space="0" w:color="DC6900" w:themeColor="accent1"/>
          <w:right w:val="single" w:sz="8" w:space="0" w:color="DC6900" w:themeColor="accent1"/>
          <w:insideH w:val="nil"/>
          <w:insideV w:val="single" w:sz="8" w:space="0" w:color="DC69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6900" w:themeColor="accent1"/>
          <w:left w:val="single" w:sz="8" w:space="0" w:color="DC6900" w:themeColor="accent1"/>
          <w:bottom w:val="single" w:sz="8" w:space="0" w:color="DC6900" w:themeColor="accent1"/>
          <w:right w:val="single" w:sz="8" w:space="0" w:color="DC6900" w:themeColor="accent1"/>
        </w:tcBorders>
      </w:tcPr>
    </w:tblStylePr>
    <w:tblStylePr w:type="band1Vert">
      <w:tblPr/>
      <w:tcPr>
        <w:tcBorders>
          <w:top w:val="single" w:sz="8" w:space="0" w:color="DC6900" w:themeColor="accent1"/>
          <w:left w:val="single" w:sz="8" w:space="0" w:color="DC6900" w:themeColor="accent1"/>
          <w:bottom w:val="single" w:sz="8" w:space="0" w:color="DC6900" w:themeColor="accent1"/>
          <w:right w:val="single" w:sz="8" w:space="0" w:color="DC6900" w:themeColor="accent1"/>
        </w:tcBorders>
        <w:shd w:val="clear" w:color="auto" w:fill="FFD9B7" w:themeFill="accent1" w:themeFillTint="3F"/>
      </w:tcPr>
    </w:tblStylePr>
    <w:tblStylePr w:type="band1Horz">
      <w:tblPr/>
      <w:tcPr>
        <w:tcBorders>
          <w:top w:val="single" w:sz="8" w:space="0" w:color="DC6900" w:themeColor="accent1"/>
          <w:left w:val="single" w:sz="8" w:space="0" w:color="DC6900" w:themeColor="accent1"/>
          <w:bottom w:val="single" w:sz="8" w:space="0" w:color="DC6900" w:themeColor="accent1"/>
          <w:right w:val="single" w:sz="8" w:space="0" w:color="DC6900" w:themeColor="accent1"/>
          <w:insideV w:val="single" w:sz="8" w:space="0" w:color="DC6900" w:themeColor="accent1"/>
        </w:tcBorders>
        <w:shd w:val="clear" w:color="auto" w:fill="FFD9B7" w:themeFill="accent1" w:themeFillTint="3F"/>
      </w:tcPr>
    </w:tblStylePr>
    <w:tblStylePr w:type="band2Horz">
      <w:tblPr/>
      <w:tcPr>
        <w:tcBorders>
          <w:top w:val="single" w:sz="8" w:space="0" w:color="DC6900" w:themeColor="accent1"/>
          <w:left w:val="single" w:sz="8" w:space="0" w:color="DC6900" w:themeColor="accent1"/>
          <w:bottom w:val="single" w:sz="8" w:space="0" w:color="DC6900" w:themeColor="accent1"/>
          <w:right w:val="single" w:sz="8" w:space="0" w:color="DC6900" w:themeColor="accent1"/>
          <w:insideV w:val="single" w:sz="8" w:space="0" w:color="DC6900" w:themeColor="accent1"/>
        </w:tcBorders>
      </w:tcPr>
    </w:tblStylePr>
  </w:style>
  <w:style w:type="table" w:styleId="LightGrid-Accent2">
    <w:name w:val="Light Grid Accent 2"/>
    <w:basedOn w:val="TableNormal"/>
    <w:hidden/>
    <w:uiPriority w:val="62"/>
    <w:rsid w:val="00BB789B"/>
    <w:pPr>
      <w:spacing w:after="0" w:line="240" w:lineRule="auto"/>
    </w:pPr>
    <w:tblPr>
      <w:tblStyleRowBandSize w:val="1"/>
      <w:tblStyleColBandSize w:val="1"/>
      <w:tblBorders>
        <w:top w:val="single" w:sz="8" w:space="0" w:color="FFB600" w:themeColor="accent2"/>
        <w:left w:val="single" w:sz="8" w:space="0" w:color="FFB600" w:themeColor="accent2"/>
        <w:bottom w:val="single" w:sz="8" w:space="0" w:color="FFB600" w:themeColor="accent2"/>
        <w:right w:val="single" w:sz="8" w:space="0" w:color="FFB600" w:themeColor="accent2"/>
        <w:insideH w:val="single" w:sz="8" w:space="0" w:color="FFB600" w:themeColor="accent2"/>
        <w:insideV w:val="single" w:sz="8" w:space="0" w:color="FFB6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B600" w:themeColor="accent2"/>
          <w:left w:val="single" w:sz="8" w:space="0" w:color="FFB600" w:themeColor="accent2"/>
          <w:bottom w:val="single" w:sz="18" w:space="0" w:color="FFB600" w:themeColor="accent2"/>
          <w:right w:val="single" w:sz="8" w:space="0" w:color="FFB600" w:themeColor="accent2"/>
          <w:insideH w:val="nil"/>
          <w:insideV w:val="single" w:sz="8" w:space="0" w:color="FFB6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B600" w:themeColor="accent2"/>
          <w:left w:val="single" w:sz="8" w:space="0" w:color="FFB600" w:themeColor="accent2"/>
          <w:bottom w:val="single" w:sz="8" w:space="0" w:color="FFB600" w:themeColor="accent2"/>
          <w:right w:val="single" w:sz="8" w:space="0" w:color="FFB600" w:themeColor="accent2"/>
          <w:insideH w:val="nil"/>
          <w:insideV w:val="single" w:sz="8" w:space="0" w:color="FFB6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B600" w:themeColor="accent2"/>
          <w:left w:val="single" w:sz="8" w:space="0" w:color="FFB600" w:themeColor="accent2"/>
          <w:bottom w:val="single" w:sz="8" w:space="0" w:color="FFB600" w:themeColor="accent2"/>
          <w:right w:val="single" w:sz="8" w:space="0" w:color="FFB600" w:themeColor="accent2"/>
        </w:tcBorders>
      </w:tcPr>
    </w:tblStylePr>
    <w:tblStylePr w:type="band1Vert">
      <w:tblPr/>
      <w:tcPr>
        <w:tcBorders>
          <w:top w:val="single" w:sz="8" w:space="0" w:color="FFB600" w:themeColor="accent2"/>
          <w:left w:val="single" w:sz="8" w:space="0" w:color="FFB600" w:themeColor="accent2"/>
          <w:bottom w:val="single" w:sz="8" w:space="0" w:color="FFB600" w:themeColor="accent2"/>
          <w:right w:val="single" w:sz="8" w:space="0" w:color="FFB600" w:themeColor="accent2"/>
        </w:tcBorders>
        <w:shd w:val="clear" w:color="auto" w:fill="FFECC0" w:themeFill="accent2" w:themeFillTint="3F"/>
      </w:tcPr>
    </w:tblStylePr>
    <w:tblStylePr w:type="band1Horz">
      <w:tblPr/>
      <w:tcPr>
        <w:tcBorders>
          <w:top w:val="single" w:sz="8" w:space="0" w:color="FFB600" w:themeColor="accent2"/>
          <w:left w:val="single" w:sz="8" w:space="0" w:color="FFB600" w:themeColor="accent2"/>
          <w:bottom w:val="single" w:sz="8" w:space="0" w:color="FFB600" w:themeColor="accent2"/>
          <w:right w:val="single" w:sz="8" w:space="0" w:color="FFB600" w:themeColor="accent2"/>
          <w:insideV w:val="single" w:sz="8" w:space="0" w:color="FFB600" w:themeColor="accent2"/>
        </w:tcBorders>
        <w:shd w:val="clear" w:color="auto" w:fill="FFECC0" w:themeFill="accent2" w:themeFillTint="3F"/>
      </w:tcPr>
    </w:tblStylePr>
    <w:tblStylePr w:type="band2Horz">
      <w:tblPr/>
      <w:tcPr>
        <w:tcBorders>
          <w:top w:val="single" w:sz="8" w:space="0" w:color="FFB600" w:themeColor="accent2"/>
          <w:left w:val="single" w:sz="8" w:space="0" w:color="FFB600" w:themeColor="accent2"/>
          <w:bottom w:val="single" w:sz="8" w:space="0" w:color="FFB600" w:themeColor="accent2"/>
          <w:right w:val="single" w:sz="8" w:space="0" w:color="FFB600" w:themeColor="accent2"/>
          <w:insideV w:val="single" w:sz="8" w:space="0" w:color="FFB600" w:themeColor="accent2"/>
        </w:tcBorders>
      </w:tcPr>
    </w:tblStylePr>
  </w:style>
  <w:style w:type="table" w:styleId="LightGrid-Accent3">
    <w:name w:val="Light Grid Accent 3"/>
    <w:basedOn w:val="TableNormal"/>
    <w:hidden/>
    <w:uiPriority w:val="62"/>
    <w:rsid w:val="00BB789B"/>
    <w:pPr>
      <w:spacing w:after="0" w:line="240" w:lineRule="auto"/>
    </w:pPr>
    <w:tblPr>
      <w:tblStyleRowBandSize w:val="1"/>
      <w:tblStyleColBandSize w:val="1"/>
      <w:tblBorders>
        <w:top w:val="single" w:sz="8" w:space="0" w:color="602320" w:themeColor="accent3"/>
        <w:left w:val="single" w:sz="8" w:space="0" w:color="602320" w:themeColor="accent3"/>
        <w:bottom w:val="single" w:sz="8" w:space="0" w:color="602320" w:themeColor="accent3"/>
        <w:right w:val="single" w:sz="8" w:space="0" w:color="602320" w:themeColor="accent3"/>
        <w:insideH w:val="single" w:sz="8" w:space="0" w:color="602320" w:themeColor="accent3"/>
        <w:insideV w:val="single" w:sz="8" w:space="0" w:color="602320"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02320" w:themeColor="accent3"/>
          <w:left w:val="single" w:sz="8" w:space="0" w:color="602320" w:themeColor="accent3"/>
          <w:bottom w:val="single" w:sz="18" w:space="0" w:color="602320" w:themeColor="accent3"/>
          <w:right w:val="single" w:sz="8" w:space="0" w:color="602320" w:themeColor="accent3"/>
          <w:insideH w:val="nil"/>
          <w:insideV w:val="single" w:sz="8" w:space="0" w:color="602320"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02320" w:themeColor="accent3"/>
          <w:left w:val="single" w:sz="8" w:space="0" w:color="602320" w:themeColor="accent3"/>
          <w:bottom w:val="single" w:sz="8" w:space="0" w:color="602320" w:themeColor="accent3"/>
          <w:right w:val="single" w:sz="8" w:space="0" w:color="602320" w:themeColor="accent3"/>
          <w:insideH w:val="nil"/>
          <w:insideV w:val="single" w:sz="8" w:space="0" w:color="602320"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tcPr>
    </w:tblStylePr>
    <w:tblStylePr w:type="band1Vert">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shd w:val="clear" w:color="auto" w:fill="E7BAB8" w:themeFill="accent3" w:themeFillTint="3F"/>
      </w:tcPr>
    </w:tblStylePr>
    <w:tblStylePr w:type="band1Horz">
      <w:tblPr/>
      <w:tcPr>
        <w:tcBorders>
          <w:top w:val="single" w:sz="8" w:space="0" w:color="602320" w:themeColor="accent3"/>
          <w:left w:val="single" w:sz="8" w:space="0" w:color="602320" w:themeColor="accent3"/>
          <w:bottom w:val="single" w:sz="8" w:space="0" w:color="602320" w:themeColor="accent3"/>
          <w:right w:val="single" w:sz="8" w:space="0" w:color="602320" w:themeColor="accent3"/>
          <w:insideV w:val="single" w:sz="8" w:space="0" w:color="602320" w:themeColor="accent3"/>
        </w:tcBorders>
        <w:shd w:val="clear" w:color="auto" w:fill="E7BAB8" w:themeFill="accent3" w:themeFillTint="3F"/>
      </w:tcPr>
    </w:tblStylePr>
    <w:tblStylePr w:type="band2Horz">
      <w:tblPr/>
      <w:tcPr>
        <w:tcBorders>
          <w:top w:val="single" w:sz="8" w:space="0" w:color="602320" w:themeColor="accent3"/>
          <w:left w:val="single" w:sz="8" w:space="0" w:color="602320" w:themeColor="accent3"/>
          <w:bottom w:val="single" w:sz="8" w:space="0" w:color="602320" w:themeColor="accent3"/>
          <w:right w:val="single" w:sz="8" w:space="0" w:color="602320" w:themeColor="accent3"/>
          <w:insideV w:val="single" w:sz="8" w:space="0" w:color="602320" w:themeColor="accent3"/>
        </w:tcBorders>
      </w:tcPr>
    </w:tblStylePr>
  </w:style>
  <w:style w:type="table" w:styleId="LightGrid-Accent4">
    <w:name w:val="Light Grid Accent 4"/>
    <w:basedOn w:val="TableNormal"/>
    <w:hidden/>
    <w:uiPriority w:val="62"/>
    <w:rsid w:val="00BB789B"/>
    <w:pPr>
      <w:spacing w:after="0" w:line="240" w:lineRule="auto"/>
    </w:pPr>
    <w:tblPr>
      <w:tblStyleRowBandSize w:val="1"/>
      <w:tblStyleColBandSize w:val="1"/>
      <w:tblBorders>
        <w:top w:val="single" w:sz="8" w:space="0" w:color="E27588" w:themeColor="accent4"/>
        <w:left w:val="single" w:sz="8" w:space="0" w:color="E27588" w:themeColor="accent4"/>
        <w:bottom w:val="single" w:sz="8" w:space="0" w:color="E27588" w:themeColor="accent4"/>
        <w:right w:val="single" w:sz="8" w:space="0" w:color="E27588" w:themeColor="accent4"/>
        <w:insideH w:val="single" w:sz="8" w:space="0" w:color="E27588" w:themeColor="accent4"/>
        <w:insideV w:val="single" w:sz="8" w:space="0" w:color="E27588"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27588" w:themeColor="accent4"/>
          <w:left w:val="single" w:sz="8" w:space="0" w:color="E27588" w:themeColor="accent4"/>
          <w:bottom w:val="single" w:sz="18" w:space="0" w:color="E27588" w:themeColor="accent4"/>
          <w:right w:val="single" w:sz="8" w:space="0" w:color="E27588" w:themeColor="accent4"/>
          <w:insideH w:val="nil"/>
          <w:insideV w:val="single" w:sz="8" w:space="0" w:color="E27588"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27588" w:themeColor="accent4"/>
          <w:left w:val="single" w:sz="8" w:space="0" w:color="E27588" w:themeColor="accent4"/>
          <w:bottom w:val="single" w:sz="8" w:space="0" w:color="E27588" w:themeColor="accent4"/>
          <w:right w:val="single" w:sz="8" w:space="0" w:color="E27588" w:themeColor="accent4"/>
          <w:insideH w:val="nil"/>
          <w:insideV w:val="single" w:sz="8" w:space="0" w:color="E27588"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27588" w:themeColor="accent4"/>
          <w:left w:val="single" w:sz="8" w:space="0" w:color="E27588" w:themeColor="accent4"/>
          <w:bottom w:val="single" w:sz="8" w:space="0" w:color="E27588" w:themeColor="accent4"/>
          <w:right w:val="single" w:sz="8" w:space="0" w:color="E27588" w:themeColor="accent4"/>
        </w:tcBorders>
      </w:tcPr>
    </w:tblStylePr>
    <w:tblStylePr w:type="band1Vert">
      <w:tblPr/>
      <w:tcPr>
        <w:tcBorders>
          <w:top w:val="single" w:sz="8" w:space="0" w:color="E27588" w:themeColor="accent4"/>
          <w:left w:val="single" w:sz="8" w:space="0" w:color="E27588" w:themeColor="accent4"/>
          <w:bottom w:val="single" w:sz="8" w:space="0" w:color="E27588" w:themeColor="accent4"/>
          <w:right w:val="single" w:sz="8" w:space="0" w:color="E27588" w:themeColor="accent4"/>
        </w:tcBorders>
        <w:shd w:val="clear" w:color="auto" w:fill="F7DCE1" w:themeFill="accent4" w:themeFillTint="3F"/>
      </w:tcPr>
    </w:tblStylePr>
    <w:tblStylePr w:type="band1Horz">
      <w:tblPr/>
      <w:tcPr>
        <w:tcBorders>
          <w:top w:val="single" w:sz="8" w:space="0" w:color="E27588" w:themeColor="accent4"/>
          <w:left w:val="single" w:sz="8" w:space="0" w:color="E27588" w:themeColor="accent4"/>
          <w:bottom w:val="single" w:sz="8" w:space="0" w:color="E27588" w:themeColor="accent4"/>
          <w:right w:val="single" w:sz="8" w:space="0" w:color="E27588" w:themeColor="accent4"/>
          <w:insideV w:val="single" w:sz="8" w:space="0" w:color="E27588" w:themeColor="accent4"/>
        </w:tcBorders>
        <w:shd w:val="clear" w:color="auto" w:fill="F7DCE1" w:themeFill="accent4" w:themeFillTint="3F"/>
      </w:tcPr>
    </w:tblStylePr>
    <w:tblStylePr w:type="band2Horz">
      <w:tblPr/>
      <w:tcPr>
        <w:tcBorders>
          <w:top w:val="single" w:sz="8" w:space="0" w:color="E27588" w:themeColor="accent4"/>
          <w:left w:val="single" w:sz="8" w:space="0" w:color="E27588" w:themeColor="accent4"/>
          <w:bottom w:val="single" w:sz="8" w:space="0" w:color="E27588" w:themeColor="accent4"/>
          <w:right w:val="single" w:sz="8" w:space="0" w:color="E27588" w:themeColor="accent4"/>
          <w:insideV w:val="single" w:sz="8" w:space="0" w:color="E27588" w:themeColor="accent4"/>
        </w:tcBorders>
      </w:tcPr>
    </w:tblStylePr>
  </w:style>
  <w:style w:type="table" w:styleId="LightGrid-Accent5">
    <w:name w:val="Light Grid Accent 5"/>
    <w:basedOn w:val="TableNormal"/>
    <w:hidden/>
    <w:uiPriority w:val="62"/>
    <w:rsid w:val="00BB789B"/>
    <w:pPr>
      <w:spacing w:after="0" w:line="240" w:lineRule="auto"/>
    </w:pPr>
    <w:tblPr>
      <w:tblStyleRowBandSize w:val="1"/>
      <w:tblStyleColBandSize w:val="1"/>
      <w:tblBorders>
        <w:top w:val="single" w:sz="8" w:space="0" w:color="A32020" w:themeColor="accent5"/>
        <w:left w:val="single" w:sz="8" w:space="0" w:color="A32020" w:themeColor="accent5"/>
        <w:bottom w:val="single" w:sz="8" w:space="0" w:color="A32020" w:themeColor="accent5"/>
        <w:right w:val="single" w:sz="8" w:space="0" w:color="A32020" w:themeColor="accent5"/>
        <w:insideH w:val="single" w:sz="8" w:space="0" w:color="A32020" w:themeColor="accent5"/>
        <w:insideV w:val="single" w:sz="8" w:space="0" w:color="A3202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32020" w:themeColor="accent5"/>
          <w:left w:val="single" w:sz="8" w:space="0" w:color="A32020" w:themeColor="accent5"/>
          <w:bottom w:val="single" w:sz="18" w:space="0" w:color="A32020" w:themeColor="accent5"/>
          <w:right w:val="single" w:sz="8" w:space="0" w:color="A32020" w:themeColor="accent5"/>
          <w:insideH w:val="nil"/>
          <w:insideV w:val="single" w:sz="8" w:space="0" w:color="A3202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32020" w:themeColor="accent5"/>
          <w:left w:val="single" w:sz="8" w:space="0" w:color="A32020" w:themeColor="accent5"/>
          <w:bottom w:val="single" w:sz="8" w:space="0" w:color="A32020" w:themeColor="accent5"/>
          <w:right w:val="single" w:sz="8" w:space="0" w:color="A32020" w:themeColor="accent5"/>
          <w:insideH w:val="nil"/>
          <w:insideV w:val="single" w:sz="8" w:space="0" w:color="A3202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32020" w:themeColor="accent5"/>
          <w:left w:val="single" w:sz="8" w:space="0" w:color="A32020" w:themeColor="accent5"/>
          <w:bottom w:val="single" w:sz="8" w:space="0" w:color="A32020" w:themeColor="accent5"/>
          <w:right w:val="single" w:sz="8" w:space="0" w:color="A32020" w:themeColor="accent5"/>
        </w:tcBorders>
      </w:tcPr>
    </w:tblStylePr>
    <w:tblStylePr w:type="band1Vert">
      <w:tblPr/>
      <w:tcPr>
        <w:tcBorders>
          <w:top w:val="single" w:sz="8" w:space="0" w:color="A32020" w:themeColor="accent5"/>
          <w:left w:val="single" w:sz="8" w:space="0" w:color="A32020" w:themeColor="accent5"/>
          <w:bottom w:val="single" w:sz="8" w:space="0" w:color="A32020" w:themeColor="accent5"/>
          <w:right w:val="single" w:sz="8" w:space="0" w:color="A32020" w:themeColor="accent5"/>
        </w:tcBorders>
        <w:shd w:val="clear" w:color="auto" w:fill="F2BDBD" w:themeFill="accent5" w:themeFillTint="3F"/>
      </w:tcPr>
    </w:tblStylePr>
    <w:tblStylePr w:type="band1Horz">
      <w:tblPr/>
      <w:tcPr>
        <w:tcBorders>
          <w:top w:val="single" w:sz="8" w:space="0" w:color="A32020" w:themeColor="accent5"/>
          <w:left w:val="single" w:sz="8" w:space="0" w:color="A32020" w:themeColor="accent5"/>
          <w:bottom w:val="single" w:sz="8" w:space="0" w:color="A32020" w:themeColor="accent5"/>
          <w:right w:val="single" w:sz="8" w:space="0" w:color="A32020" w:themeColor="accent5"/>
          <w:insideV w:val="single" w:sz="8" w:space="0" w:color="A32020" w:themeColor="accent5"/>
        </w:tcBorders>
        <w:shd w:val="clear" w:color="auto" w:fill="F2BDBD" w:themeFill="accent5" w:themeFillTint="3F"/>
      </w:tcPr>
    </w:tblStylePr>
    <w:tblStylePr w:type="band2Horz">
      <w:tblPr/>
      <w:tcPr>
        <w:tcBorders>
          <w:top w:val="single" w:sz="8" w:space="0" w:color="A32020" w:themeColor="accent5"/>
          <w:left w:val="single" w:sz="8" w:space="0" w:color="A32020" w:themeColor="accent5"/>
          <w:bottom w:val="single" w:sz="8" w:space="0" w:color="A32020" w:themeColor="accent5"/>
          <w:right w:val="single" w:sz="8" w:space="0" w:color="A32020" w:themeColor="accent5"/>
          <w:insideV w:val="single" w:sz="8" w:space="0" w:color="A32020" w:themeColor="accent5"/>
        </w:tcBorders>
      </w:tcPr>
    </w:tblStylePr>
  </w:style>
  <w:style w:type="table" w:styleId="LightGrid-Accent6">
    <w:name w:val="Light Grid Accent 6"/>
    <w:basedOn w:val="TableNormal"/>
    <w:hidden/>
    <w:uiPriority w:val="62"/>
    <w:rsid w:val="00BB789B"/>
    <w:pPr>
      <w:spacing w:after="0" w:line="240" w:lineRule="auto"/>
    </w:pPr>
    <w:tblPr>
      <w:tblStyleRowBandSize w:val="1"/>
      <w:tblStyleColBandSize w:val="1"/>
      <w:tblBorders>
        <w:top w:val="single" w:sz="8" w:space="0" w:color="E0301E" w:themeColor="accent6"/>
        <w:left w:val="single" w:sz="8" w:space="0" w:color="E0301E" w:themeColor="accent6"/>
        <w:bottom w:val="single" w:sz="8" w:space="0" w:color="E0301E" w:themeColor="accent6"/>
        <w:right w:val="single" w:sz="8" w:space="0" w:color="E0301E" w:themeColor="accent6"/>
        <w:insideH w:val="single" w:sz="8" w:space="0" w:color="E0301E" w:themeColor="accent6"/>
        <w:insideV w:val="single" w:sz="8" w:space="0" w:color="E0301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301E" w:themeColor="accent6"/>
          <w:left w:val="single" w:sz="8" w:space="0" w:color="E0301E" w:themeColor="accent6"/>
          <w:bottom w:val="single" w:sz="18" w:space="0" w:color="E0301E" w:themeColor="accent6"/>
          <w:right w:val="single" w:sz="8" w:space="0" w:color="E0301E" w:themeColor="accent6"/>
          <w:insideH w:val="nil"/>
          <w:insideV w:val="single" w:sz="8" w:space="0" w:color="E0301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301E" w:themeColor="accent6"/>
          <w:left w:val="single" w:sz="8" w:space="0" w:color="E0301E" w:themeColor="accent6"/>
          <w:bottom w:val="single" w:sz="8" w:space="0" w:color="E0301E" w:themeColor="accent6"/>
          <w:right w:val="single" w:sz="8" w:space="0" w:color="E0301E" w:themeColor="accent6"/>
          <w:insideH w:val="nil"/>
          <w:insideV w:val="single" w:sz="8" w:space="0" w:color="E0301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301E" w:themeColor="accent6"/>
          <w:left w:val="single" w:sz="8" w:space="0" w:color="E0301E" w:themeColor="accent6"/>
          <w:bottom w:val="single" w:sz="8" w:space="0" w:color="E0301E" w:themeColor="accent6"/>
          <w:right w:val="single" w:sz="8" w:space="0" w:color="E0301E" w:themeColor="accent6"/>
        </w:tcBorders>
      </w:tcPr>
    </w:tblStylePr>
    <w:tblStylePr w:type="band1Vert">
      <w:tblPr/>
      <w:tcPr>
        <w:tcBorders>
          <w:top w:val="single" w:sz="8" w:space="0" w:color="E0301E" w:themeColor="accent6"/>
          <w:left w:val="single" w:sz="8" w:space="0" w:color="E0301E" w:themeColor="accent6"/>
          <w:bottom w:val="single" w:sz="8" w:space="0" w:color="E0301E" w:themeColor="accent6"/>
          <w:right w:val="single" w:sz="8" w:space="0" w:color="E0301E" w:themeColor="accent6"/>
        </w:tcBorders>
        <w:shd w:val="clear" w:color="auto" w:fill="F7CBC7" w:themeFill="accent6" w:themeFillTint="3F"/>
      </w:tcPr>
    </w:tblStylePr>
    <w:tblStylePr w:type="band1Horz">
      <w:tblPr/>
      <w:tcPr>
        <w:tcBorders>
          <w:top w:val="single" w:sz="8" w:space="0" w:color="E0301E" w:themeColor="accent6"/>
          <w:left w:val="single" w:sz="8" w:space="0" w:color="E0301E" w:themeColor="accent6"/>
          <w:bottom w:val="single" w:sz="8" w:space="0" w:color="E0301E" w:themeColor="accent6"/>
          <w:right w:val="single" w:sz="8" w:space="0" w:color="E0301E" w:themeColor="accent6"/>
          <w:insideV w:val="single" w:sz="8" w:space="0" w:color="E0301E" w:themeColor="accent6"/>
        </w:tcBorders>
        <w:shd w:val="clear" w:color="auto" w:fill="F7CBC7" w:themeFill="accent6" w:themeFillTint="3F"/>
      </w:tcPr>
    </w:tblStylePr>
    <w:tblStylePr w:type="band2Horz">
      <w:tblPr/>
      <w:tcPr>
        <w:tcBorders>
          <w:top w:val="single" w:sz="8" w:space="0" w:color="E0301E" w:themeColor="accent6"/>
          <w:left w:val="single" w:sz="8" w:space="0" w:color="E0301E" w:themeColor="accent6"/>
          <w:bottom w:val="single" w:sz="8" w:space="0" w:color="E0301E" w:themeColor="accent6"/>
          <w:right w:val="single" w:sz="8" w:space="0" w:color="E0301E" w:themeColor="accent6"/>
          <w:insideV w:val="single" w:sz="8" w:space="0" w:color="E0301E" w:themeColor="accent6"/>
        </w:tcBorders>
      </w:tcPr>
    </w:tblStylePr>
  </w:style>
  <w:style w:type="table" w:customStyle="1" w:styleId="LightList2">
    <w:name w:val="Light List2"/>
    <w:basedOn w:val="TableNormal"/>
    <w:hidden/>
    <w:uiPriority w:val="61"/>
    <w:rsid w:val="00BB789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2">
    <w:name w:val="Light List - Accent 12"/>
    <w:basedOn w:val="TableNormal"/>
    <w:hidden/>
    <w:uiPriority w:val="61"/>
    <w:rsid w:val="00BB789B"/>
    <w:pPr>
      <w:spacing w:after="0" w:line="240" w:lineRule="auto"/>
    </w:pPr>
    <w:tblPr>
      <w:tblStyleRowBandSize w:val="1"/>
      <w:tblStyleColBandSize w:val="1"/>
      <w:tblBorders>
        <w:top w:val="single" w:sz="8" w:space="0" w:color="DC6900" w:themeColor="accent1"/>
        <w:left w:val="single" w:sz="8" w:space="0" w:color="DC6900" w:themeColor="accent1"/>
        <w:bottom w:val="single" w:sz="8" w:space="0" w:color="DC6900" w:themeColor="accent1"/>
        <w:right w:val="single" w:sz="8" w:space="0" w:color="DC6900" w:themeColor="accent1"/>
      </w:tblBorders>
    </w:tblPr>
    <w:tblStylePr w:type="firstRow">
      <w:pPr>
        <w:spacing w:before="0" w:after="0" w:line="240" w:lineRule="auto"/>
      </w:pPr>
      <w:rPr>
        <w:b/>
        <w:bCs/>
        <w:color w:val="FFFFFF" w:themeColor="background1"/>
      </w:rPr>
      <w:tblPr/>
      <w:tcPr>
        <w:shd w:val="clear" w:color="auto" w:fill="DC6900" w:themeFill="accent1"/>
      </w:tcPr>
    </w:tblStylePr>
    <w:tblStylePr w:type="lastRow">
      <w:pPr>
        <w:spacing w:before="0" w:after="0" w:line="240" w:lineRule="auto"/>
      </w:pPr>
      <w:rPr>
        <w:b/>
        <w:bCs/>
      </w:rPr>
      <w:tblPr/>
      <w:tcPr>
        <w:tcBorders>
          <w:top w:val="double" w:sz="6" w:space="0" w:color="DC6900" w:themeColor="accent1"/>
          <w:left w:val="single" w:sz="8" w:space="0" w:color="DC6900" w:themeColor="accent1"/>
          <w:bottom w:val="single" w:sz="8" w:space="0" w:color="DC6900" w:themeColor="accent1"/>
          <w:right w:val="single" w:sz="8" w:space="0" w:color="DC6900" w:themeColor="accent1"/>
        </w:tcBorders>
      </w:tcPr>
    </w:tblStylePr>
    <w:tblStylePr w:type="firstCol">
      <w:rPr>
        <w:b/>
        <w:bCs/>
      </w:rPr>
    </w:tblStylePr>
    <w:tblStylePr w:type="lastCol">
      <w:rPr>
        <w:b/>
        <w:bCs/>
      </w:rPr>
    </w:tblStylePr>
    <w:tblStylePr w:type="band1Vert">
      <w:tblPr/>
      <w:tcPr>
        <w:tcBorders>
          <w:top w:val="single" w:sz="8" w:space="0" w:color="DC6900" w:themeColor="accent1"/>
          <w:left w:val="single" w:sz="8" w:space="0" w:color="DC6900" w:themeColor="accent1"/>
          <w:bottom w:val="single" w:sz="8" w:space="0" w:color="DC6900" w:themeColor="accent1"/>
          <w:right w:val="single" w:sz="8" w:space="0" w:color="DC6900" w:themeColor="accent1"/>
        </w:tcBorders>
      </w:tcPr>
    </w:tblStylePr>
    <w:tblStylePr w:type="band1Horz">
      <w:tblPr/>
      <w:tcPr>
        <w:tcBorders>
          <w:top w:val="single" w:sz="8" w:space="0" w:color="DC6900" w:themeColor="accent1"/>
          <w:left w:val="single" w:sz="8" w:space="0" w:color="DC6900" w:themeColor="accent1"/>
          <w:bottom w:val="single" w:sz="8" w:space="0" w:color="DC6900" w:themeColor="accent1"/>
          <w:right w:val="single" w:sz="8" w:space="0" w:color="DC6900" w:themeColor="accent1"/>
        </w:tcBorders>
      </w:tcPr>
    </w:tblStylePr>
  </w:style>
  <w:style w:type="table" w:styleId="LightList-Accent2">
    <w:name w:val="Light List Accent 2"/>
    <w:basedOn w:val="TableNormal"/>
    <w:hidden/>
    <w:uiPriority w:val="61"/>
    <w:rsid w:val="00BB789B"/>
    <w:pPr>
      <w:spacing w:after="0" w:line="240" w:lineRule="auto"/>
    </w:pPr>
    <w:tblPr>
      <w:tblStyleRowBandSize w:val="1"/>
      <w:tblStyleColBandSize w:val="1"/>
      <w:tblBorders>
        <w:top w:val="single" w:sz="8" w:space="0" w:color="FFB600" w:themeColor="accent2"/>
        <w:left w:val="single" w:sz="8" w:space="0" w:color="FFB600" w:themeColor="accent2"/>
        <w:bottom w:val="single" w:sz="8" w:space="0" w:color="FFB600" w:themeColor="accent2"/>
        <w:right w:val="single" w:sz="8" w:space="0" w:color="FFB600" w:themeColor="accent2"/>
      </w:tblBorders>
    </w:tblPr>
    <w:tblStylePr w:type="firstRow">
      <w:pPr>
        <w:spacing w:before="0" w:after="0" w:line="240" w:lineRule="auto"/>
      </w:pPr>
      <w:rPr>
        <w:b/>
        <w:bCs/>
        <w:color w:val="FFFFFF" w:themeColor="background1"/>
      </w:rPr>
      <w:tblPr/>
      <w:tcPr>
        <w:shd w:val="clear" w:color="auto" w:fill="FFB600" w:themeFill="accent2"/>
      </w:tcPr>
    </w:tblStylePr>
    <w:tblStylePr w:type="lastRow">
      <w:pPr>
        <w:spacing w:before="0" w:after="0" w:line="240" w:lineRule="auto"/>
      </w:pPr>
      <w:rPr>
        <w:b/>
        <w:bCs/>
      </w:rPr>
      <w:tblPr/>
      <w:tcPr>
        <w:tcBorders>
          <w:top w:val="double" w:sz="6" w:space="0" w:color="FFB600" w:themeColor="accent2"/>
          <w:left w:val="single" w:sz="8" w:space="0" w:color="FFB600" w:themeColor="accent2"/>
          <w:bottom w:val="single" w:sz="8" w:space="0" w:color="FFB600" w:themeColor="accent2"/>
          <w:right w:val="single" w:sz="8" w:space="0" w:color="FFB600" w:themeColor="accent2"/>
        </w:tcBorders>
      </w:tcPr>
    </w:tblStylePr>
    <w:tblStylePr w:type="firstCol">
      <w:rPr>
        <w:b/>
        <w:bCs/>
      </w:rPr>
    </w:tblStylePr>
    <w:tblStylePr w:type="lastCol">
      <w:rPr>
        <w:b/>
        <w:bCs/>
      </w:rPr>
    </w:tblStylePr>
    <w:tblStylePr w:type="band1Vert">
      <w:tblPr/>
      <w:tcPr>
        <w:tcBorders>
          <w:top w:val="single" w:sz="8" w:space="0" w:color="FFB600" w:themeColor="accent2"/>
          <w:left w:val="single" w:sz="8" w:space="0" w:color="FFB600" w:themeColor="accent2"/>
          <w:bottom w:val="single" w:sz="8" w:space="0" w:color="FFB600" w:themeColor="accent2"/>
          <w:right w:val="single" w:sz="8" w:space="0" w:color="FFB600" w:themeColor="accent2"/>
        </w:tcBorders>
      </w:tcPr>
    </w:tblStylePr>
    <w:tblStylePr w:type="band1Horz">
      <w:tblPr/>
      <w:tcPr>
        <w:tcBorders>
          <w:top w:val="single" w:sz="8" w:space="0" w:color="FFB600" w:themeColor="accent2"/>
          <w:left w:val="single" w:sz="8" w:space="0" w:color="FFB600" w:themeColor="accent2"/>
          <w:bottom w:val="single" w:sz="8" w:space="0" w:color="FFB600" w:themeColor="accent2"/>
          <w:right w:val="single" w:sz="8" w:space="0" w:color="FFB600" w:themeColor="accent2"/>
        </w:tcBorders>
      </w:tcPr>
    </w:tblStylePr>
  </w:style>
  <w:style w:type="table" w:styleId="LightList-Accent3">
    <w:name w:val="Light List Accent 3"/>
    <w:basedOn w:val="TableNormal"/>
    <w:hidden/>
    <w:uiPriority w:val="61"/>
    <w:rsid w:val="00BB789B"/>
    <w:pPr>
      <w:spacing w:after="0" w:line="240" w:lineRule="auto"/>
    </w:pPr>
    <w:tblPr>
      <w:tblStyleRowBandSize w:val="1"/>
      <w:tblStyleColBandSize w:val="1"/>
      <w:tblBorders>
        <w:top w:val="single" w:sz="8" w:space="0" w:color="602320" w:themeColor="accent3"/>
        <w:left w:val="single" w:sz="8" w:space="0" w:color="602320" w:themeColor="accent3"/>
        <w:bottom w:val="single" w:sz="8" w:space="0" w:color="602320" w:themeColor="accent3"/>
        <w:right w:val="single" w:sz="8" w:space="0" w:color="602320" w:themeColor="accent3"/>
      </w:tblBorders>
    </w:tblPr>
    <w:tblStylePr w:type="firstRow">
      <w:pPr>
        <w:spacing w:before="0" w:after="0" w:line="240" w:lineRule="auto"/>
      </w:pPr>
      <w:rPr>
        <w:b/>
        <w:bCs/>
        <w:color w:val="FFFFFF" w:themeColor="background1"/>
      </w:rPr>
      <w:tblPr/>
      <w:tcPr>
        <w:shd w:val="clear" w:color="auto" w:fill="602320" w:themeFill="accent3"/>
      </w:tcPr>
    </w:tblStylePr>
    <w:tblStylePr w:type="lastRow">
      <w:pPr>
        <w:spacing w:before="0" w:after="0" w:line="240" w:lineRule="auto"/>
      </w:pPr>
      <w:rPr>
        <w:b/>
        <w:bCs/>
      </w:rPr>
      <w:tblPr/>
      <w:tcPr>
        <w:tcBorders>
          <w:top w:val="double" w:sz="6" w:space="0" w:color="602320" w:themeColor="accent3"/>
          <w:left w:val="single" w:sz="8" w:space="0" w:color="602320" w:themeColor="accent3"/>
          <w:bottom w:val="single" w:sz="8" w:space="0" w:color="602320" w:themeColor="accent3"/>
          <w:right w:val="single" w:sz="8" w:space="0" w:color="602320" w:themeColor="accent3"/>
        </w:tcBorders>
      </w:tcPr>
    </w:tblStylePr>
    <w:tblStylePr w:type="firstCol">
      <w:rPr>
        <w:b/>
        <w:bCs/>
      </w:rPr>
    </w:tblStylePr>
    <w:tblStylePr w:type="lastCol">
      <w:rPr>
        <w:b/>
        <w:bCs/>
      </w:rPr>
    </w:tblStylePr>
    <w:tblStylePr w:type="band1Vert">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tcPr>
    </w:tblStylePr>
    <w:tblStylePr w:type="band1Horz">
      <w:tblPr/>
      <w:tcPr>
        <w:tcBorders>
          <w:top w:val="single" w:sz="8" w:space="0" w:color="602320" w:themeColor="accent3"/>
          <w:left w:val="single" w:sz="8" w:space="0" w:color="602320" w:themeColor="accent3"/>
          <w:bottom w:val="single" w:sz="8" w:space="0" w:color="602320" w:themeColor="accent3"/>
          <w:right w:val="single" w:sz="8" w:space="0" w:color="602320" w:themeColor="accent3"/>
        </w:tcBorders>
      </w:tcPr>
    </w:tblStylePr>
  </w:style>
  <w:style w:type="table" w:styleId="LightList-Accent4">
    <w:name w:val="Light List Accent 4"/>
    <w:basedOn w:val="TableNormal"/>
    <w:hidden/>
    <w:uiPriority w:val="61"/>
    <w:rsid w:val="00BB789B"/>
    <w:pPr>
      <w:spacing w:after="0" w:line="240" w:lineRule="auto"/>
    </w:pPr>
    <w:tblPr>
      <w:tblStyleRowBandSize w:val="1"/>
      <w:tblStyleColBandSize w:val="1"/>
      <w:tblBorders>
        <w:top w:val="single" w:sz="8" w:space="0" w:color="E27588" w:themeColor="accent4"/>
        <w:left w:val="single" w:sz="8" w:space="0" w:color="E27588" w:themeColor="accent4"/>
        <w:bottom w:val="single" w:sz="8" w:space="0" w:color="E27588" w:themeColor="accent4"/>
        <w:right w:val="single" w:sz="8" w:space="0" w:color="E27588" w:themeColor="accent4"/>
      </w:tblBorders>
    </w:tblPr>
    <w:tblStylePr w:type="firstRow">
      <w:pPr>
        <w:spacing w:before="0" w:after="0" w:line="240" w:lineRule="auto"/>
      </w:pPr>
      <w:rPr>
        <w:b/>
        <w:bCs/>
        <w:color w:val="FFFFFF" w:themeColor="background1"/>
      </w:rPr>
      <w:tblPr/>
      <w:tcPr>
        <w:shd w:val="clear" w:color="auto" w:fill="E27588" w:themeFill="accent4"/>
      </w:tcPr>
    </w:tblStylePr>
    <w:tblStylePr w:type="lastRow">
      <w:pPr>
        <w:spacing w:before="0" w:after="0" w:line="240" w:lineRule="auto"/>
      </w:pPr>
      <w:rPr>
        <w:b/>
        <w:bCs/>
      </w:rPr>
      <w:tblPr/>
      <w:tcPr>
        <w:tcBorders>
          <w:top w:val="double" w:sz="6" w:space="0" w:color="E27588" w:themeColor="accent4"/>
          <w:left w:val="single" w:sz="8" w:space="0" w:color="E27588" w:themeColor="accent4"/>
          <w:bottom w:val="single" w:sz="8" w:space="0" w:color="E27588" w:themeColor="accent4"/>
          <w:right w:val="single" w:sz="8" w:space="0" w:color="E27588" w:themeColor="accent4"/>
        </w:tcBorders>
      </w:tcPr>
    </w:tblStylePr>
    <w:tblStylePr w:type="firstCol">
      <w:rPr>
        <w:b/>
        <w:bCs/>
      </w:rPr>
    </w:tblStylePr>
    <w:tblStylePr w:type="lastCol">
      <w:rPr>
        <w:b/>
        <w:bCs/>
      </w:rPr>
    </w:tblStylePr>
    <w:tblStylePr w:type="band1Vert">
      <w:tblPr/>
      <w:tcPr>
        <w:tcBorders>
          <w:top w:val="single" w:sz="8" w:space="0" w:color="E27588" w:themeColor="accent4"/>
          <w:left w:val="single" w:sz="8" w:space="0" w:color="E27588" w:themeColor="accent4"/>
          <w:bottom w:val="single" w:sz="8" w:space="0" w:color="E27588" w:themeColor="accent4"/>
          <w:right w:val="single" w:sz="8" w:space="0" w:color="E27588" w:themeColor="accent4"/>
        </w:tcBorders>
      </w:tcPr>
    </w:tblStylePr>
    <w:tblStylePr w:type="band1Horz">
      <w:tblPr/>
      <w:tcPr>
        <w:tcBorders>
          <w:top w:val="single" w:sz="8" w:space="0" w:color="E27588" w:themeColor="accent4"/>
          <w:left w:val="single" w:sz="8" w:space="0" w:color="E27588" w:themeColor="accent4"/>
          <w:bottom w:val="single" w:sz="8" w:space="0" w:color="E27588" w:themeColor="accent4"/>
          <w:right w:val="single" w:sz="8" w:space="0" w:color="E27588" w:themeColor="accent4"/>
        </w:tcBorders>
      </w:tcPr>
    </w:tblStylePr>
  </w:style>
  <w:style w:type="table" w:styleId="LightList-Accent5">
    <w:name w:val="Light List Accent 5"/>
    <w:basedOn w:val="TableNormal"/>
    <w:hidden/>
    <w:uiPriority w:val="61"/>
    <w:rsid w:val="00BB789B"/>
    <w:pPr>
      <w:spacing w:after="0" w:line="240" w:lineRule="auto"/>
    </w:pPr>
    <w:tblPr>
      <w:tblStyleRowBandSize w:val="1"/>
      <w:tblStyleColBandSize w:val="1"/>
      <w:tblBorders>
        <w:top w:val="single" w:sz="8" w:space="0" w:color="A32020" w:themeColor="accent5"/>
        <w:left w:val="single" w:sz="8" w:space="0" w:color="A32020" w:themeColor="accent5"/>
        <w:bottom w:val="single" w:sz="8" w:space="0" w:color="A32020" w:themeColor="accent5"/>
        <w:right w:val="single" w:sz="8" w:space="0" w:color="A32020" w:themeColor="accent5"/>
      </w:tblBorders>
    </w:tblPr>
    <w:tblStylePr w:type="firstRow">
      <w:pPr>
        <w:spacing w:before="0" w:after="0" w:line="240" w:lineRule="auto"/>
      </w:pPr>
      <w:rPr>
        <w:b/>
        <w:bCs/>
        <w:color w:val="FFFFFF" w:themeColor="background1"/>
      </w:rPr>
      <w:tblPr/>
      <w:tcPr>
        <w:shd w:val="clear" w:color="auto" w:fill="A32020" w:themeFill="accent5"/>
      </w:tcPr>
    </w:tblStylePr>
    <w:tblStylePr w:type="lastRow">
      <w:pPr>
        <w:spacing w:before="0" w:after="0" w:line="240" w:lineRule="auto"/>
      </w:pPr>
      <w:rPr>
        <w:b/>
        <w:bCs/>
      </w:rPr>
      <w:tblPr/>
      <w:tcPr>
        <w:tcBorders>
          <w:top w:val="double" w:sz="6" w:space="0" w:color="A32020" w:themeColor="accent5"/>
          <w:left w:val="single" w:sz="8" w:space="0" w:color="A32020" w:themeColor="accent5"/>
          <w:bottom w:val="single" w:sz="8" w:space="0" w:color="A32020" w:themeColor="accent5"/>
          <w:right w:val="single" w:sz="8" w:space="0" w:color="A32020" w:themeColor="accent5"/>
        </w:tcBorders>
      </w:tcPr>
    </w:tblStylePr>
    <w:tblStylePr w:type="firstCol">
      <w:rPr>
        <w:b/>
        <w:bCs/>
      </w:rPr>
    </w:tblStylePr>
    <w:tblStylePr w:type="lastCol">
      <w:rPr>
        <w:b/>
        <w:bCs/>
      </w:rPr>
    </w:tblStylePr>
    <w:tblStylePr w:type="band1Vert">
      <w:tblPr/>
      <w:tcPr>
        <w:tcBorders>
          <w:top w:val="single" w:sz="8" w:space="0" w:color="A32020" w:themeColor="accent5"/>
          <w:left w:val="single" w:sz="8" w:space="0" w:color="A32020" w:themeColor="accent5"/>
          <w:bottom w:val="single" w:sz="8" w:space="0" w:color="A32020" w:themeColor="accent5"/>
          <w:right w:val="single" w:sz="8" w:space="0" w:color="A32020" w:themeColor="accent5"/>
        </w:tcBorders>
      </w:tcPr>
    </w:tblStylePr>
    <w:tblStylePr w:type="band1Horz">
      <w:tblPr/>
      <w:tcPr>
        <w:tcBorders>
          <w:top w:val="single" w:sz="8" w:space="0" w:color="A32020" w:themeColor="accent5"/>
          <w:left w:val="single" w:sz="8" w:space="0" w:color="A32020" w:themeColor="accent5"/>
          <w:bottom w:val="single" w:sz="8" w:space="0" w:color="A32020" w:themeColor="accent5"/>
          <w:right w:val="single" w:sz="8" w:space="0" w:color="A32020" w:themeColor="accent5"/>
        </w:tcBorders>
      </w:tcPr>
    </w:tblStylePr>
  </w:style>
  <w:style w:type="table" w:styleId="LightList-Accent6">
    <w:name w:val="Light List Accent 6"/>
    <w:basedOn w:val="TableNormal"/>
    <w:hidden/>
    <w:uiPriority w:val="61"/>
    <w:rsid w:val="00BB789B"/>
    <w:pPr>
      <w:spacing w:after="0" w:line="240" w:lineRule="auto"/>
    </w:pPr>
    <w:tblPr>
      <w:tblStyleRowBandSize w:val="1"/>
      <w:tblStyleColBandSize w:val="1"/>
      <w:tblBorders>
        <w:top w:val="single" w:sz="8" w:space="0" w:color="E0301E" w:themeColor="accent6"/>
        <w:left w:val="single" w:sz="8" w:space="0" w:color="E0301E" w:themeColor="accent6"/>
        <w:bottom w:val="single" w:sz="8" w:space="0" w:color="E0301E" w:themeColor="accent6"/>
        <w:right w:val="single" w:sz="8" w:space="0" w:color="E0301E" w:themeColor="accent6"/>
      </w:tblBorders>
    </w:tblPr>
    <w:tblStylePr w:type="firstRow">
      <w:pPr>
        <w:spacing w:before="0" w:after="0" w:line="240" w:lineRule="auto"/>
      </w:pPr>
      <w:rPr>
        <w:b/>
        <w:bCs/>
        <w:color w:val="FFFFFF" w:themeColor="background1"/>
      </w:rPr>
      <w:tblPr/>
      <w:tcPr>
        <w:shd w:val="clear" w:color="auto" w:fill="E0301E" w:themeFill="accent6"/>
      </w:tcPr>
    </w:tblStylePr>
    <w:tblStylePr w:type="lastRow">
      <w:pPr>
        <w:spacing w:before="0" w:after="0" w:line="240" w:lineRule="auto"/>
      </w:pPr>
      <w:rPr>
        <w:b/>
        <w:bCs/>
      </w:rPr>
      <w:tblPr/>
      <w:tcPr>
        <w:tcBorders>
          <w:top w:val="double" w:sz="6" w:space="0" w:color="E0301E" w:themeColor="accent6"/>
          <w:left w:val="single" w:sz="8" w:space="0" w:color="E0301E" w:themeColor="accent6"/>
          <w:bottom w:val="single" w:sz="8" w:space="0" w:color="E0301E" w:themeColor="accent6"/>
          <w:right w:val="single" w:sz="8" w:space="0" w:color="E0301E" w:themeColor="accent6"/>
        </w:tcBorders>
      </w:tcPr>
    </w:tblStylePr>
    <w:tblStylePr w:type="firstCol">
      <w:rPr>
        <w:b/>
        <w:bCs/>
      </w:rPr>
    </w:tblStylePr>
    <w:tblStylePr w:type="lastCol">
      <w:rPr>
        <w:b/>
        <w:bCs/>
      </w:rPr>
    </w:tblStylePr>
    <w:tblStylePr w:type="band1Vert">
      <w:tblPr/>
      <w:tcPr>
        <w:tcBorders>
          <w:top w:val="single" w:sz="8" w:space="0" w:color="E0301E" w:themeColor="accent6"/>
          <w:left w:val="single" w:sz="8" w:space="0" w:color="E0301E" w:themeColor="accent6"/>
          <w:bottom w:val="single" w:sz="8" w:space="0" w:color="E0301E" w:themeColor="accent6"/>
          <w:right w:val="single" w:sz="8" w:space="0" w:color="E0301E" w:themeColor="accent6"/>
        </w:tcBorders>
      </w:tcPr>
    </w:tblStylePr>
    <w:tblStylePr w:type="band1Horz">
      <w:tblPr/>
      <w:tcPr>
        <w:tcBorders>
          <w:top w:val="single" w:sz="8" w:space="0" w:color="E0301E" w:themeColor="accent6"/>
          <w:left w:val="single" w:sz="8" w:space="0" w:color="E0301E" w:themeColor="accent6"/>
          <w:bottom w:val="single" w:sz="8" w:space="0" w:color="E0301E" w:themeColor="accent6"/>
          <w:right w:val="single" w:sz="8" w:space="0" w:color="E0301E" w:themeColor="accent6"/>
        </w:tcBorders>
      </w:tcPr>
    </w:tblStylePr>
  </w:style>
  <w:style w:type="table" w:customStyle="1" w:styleId="LightShading1">
    <w:name w:val="Light Shading1"/>
    <w:basedOn w:val="TableNormal"/>
    <w:hidden/>
    <w:uiPriority w:val="60"/>
    <w:rsid w:val="00BB789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1">
    <w:name w:val="Light Shading - Accent 11"/>
    <w:basedOn w:val="TableNormal"/>
    <w:hidden/>
    <w:uiPriority w:val="60"/>
    <w:rsid w:val="00BB789B"/>
    <w:pPr>
      <w:spacing w:after="0" w:line="240" w:lineRule="auto"/>
    </w:pPr>
    <w:rPr>
      <w:color w:val="A44E00" w:themeColor="accent1" w:themeShade="BF"/>
    </w:rPr>
    <w:tblPr>
      <w:tblStyleRowBandSize w:val="1"/>
      <w:tblStyleColBandSize w:val="1"/>
      <w:tblBorders>
        <w:top w:val="single" w:sz="8" w:space="0" w:color="DC6900" w:themeColor="accent1"/>
        <w:bottom w:val="single" w:sz="8" w:space="0" w:color="DC6900" w:themeColor="accent1"/>
      </w:tblBorders>
    </w:tblPr>
    <w:tblStylePr w:type="firstRow">
      <w:pPr>
        <w:spacing w:before="0" w:after="0" w:line="240" w:lineRule="auto"/>
      </w:pPr>
      <w:rPr>
        <w:b/>
        <w:bCs/>
      </w:rPr>
      <w:tblPr/>
      <w:tcPr>
        <w:tcBorders>
          <w:top w:val="single" w:sz="8" w:space="0" w:color="DC6900" w:themeColor="accent1"/>
          <w:left w:val="nil"/>
          <w:bottom w:val="single" w:sz="8" w:space="0" w:color="DC6900" w:themeColor="accent1"/>
          <w:right w:val="nil"/>
          <w:insideH w:val="nil"/>
          <w:insideV w:val="nil"/>
        </w:tcBorders>
      </w:tcPr>
    </w:tblStylePr>
    <w:tblStylePr w:type="lastRow">
      <w:pPr>
        <w:spacing w:before="0" w:after="0" w:line="240" w:lineRule="auto"/>
      </w:pPr>
      <w:rPr>
        <w:b/>
        <w:bCs/>
      </w:rPr>
      <w:tblPr/>
      <w:tcPr>
        <w:tcBorders>
          <w:top w:val="single" w:sz="8" w:space="0" w:color="DC6900" w:themeColor="accent1"/>
          <w:left w:val="nil"/>
          <w:bottom w:val="single" w:sz="8" w:space="0" w:color="DC69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B7" w:themeFill="accent1" w:themeFillTint="3F"/>
      </w:tcPr>
    </w:tblStylePr>
    <w:tblStylePr w:type="band1Horz">
      <w:tblPr/>
      <w:tcPr>
        <w:tcBorders>
          <w:left w:val="nil"/>
          <w:right w:val="nil"/>
          <w:insideH w:val="nil"/>
          <w:insideV w:val="nil"/>
        </w:tcBorders>
        <w:shd w:val="clear" w:color="auto" w:fill="FFD9B7" w:themeFill="accent1" w:themeFillTint="3F"/>
      </w:tcPr>
    </w:tblStylePr>
  </w:style>
  <w:style w:type="table" w:styleId="LightShading-Accent3">
    <w:name w:val="Light Shading Accent 3"/>
    <w:basedOn w:val="TableNormal"/>
    <w:hidden/>
    <w:uiPriority w:val="60"/>
    <w:rsid w:val="00BB789B"/>
    <w:pPr>
      <w:spacing w:after="0" w:line="240" w:lineRule="auto"/>
    </w:pPr>
    <w:rPr>
      <w:color w:val="471A18" w:themeColor="accent3" w:themeShade="BF"/>
    </w:rPr>
    <w:tblPr>
      <w:tblStyleRowBandSize w:val="1"/>
      <w:tblStyleColBandSize w:val="1"/>
      <w:tblBorders>
        <w:top w:val="single" w:sz="8" w:space="0" w:color="602320" w:themeColor="accent3"/>
        <w:bottom w:val="single" w:sz="8" w:space="0" w:color="602320" w:themeColor="accent3"/>
      </w:tblBorders>
    </w:tblPr>
    <w:tblStylePr w:type="firstRow">
      <w:pPr>
        <w:spacing w:before="0" w:after="0" w:line="240" w:lineRule="auto"/>
      </w:pPr>
      <w:rPr>
        <w:b/>
        <w:bCs/>
      </w:rPr>
      <w:tblPr/>
      <w:tcPr>
        <w:tcBorders>
          <w:top w:val="single" w:sz="8" w:space="0" w:color="602320" w:themeColor="accent3"/>
          <w:left w:val="nil"/>
          <w:bottom w:val="single" w:sz="8" w:space="0" w:color="602320" w:themeColor="accent3"/>
          <w:right w:val="nil"/>
          <w:insideH w:val="nil"/>
          <w:insideV w:val="nil"/>
        </w:tcBorders>
      </w:tcPr>
    </w:tblStylePr>
    <w:tblStylePr w:type="lastRow">
      <w:pPr>
        <w:spacing w:before="0" w:after="0" w:line="240" w:lineRule="auto"/>
      </w:pPr>
      <w:rPr>
        <w:b/>
        <w:bCs/>
      </w:rPr>
      <w:tblPr/>
      <w:tcPr>
        <w:tcBorders>
          <w:top w:val="single" w:sz="8" w:space="0" w:color="602320" w:themeColor="accent3"/>
          <w:left w:val="nil"/>
          <w:bottom w:val="single" w:sz="8" w:space="0" w:color="602320"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BAB8" w:themeFill="accent3" w:themeFillTint="3F"/>
      </w:tcPr>
    </w:tblStylePr>
    <w:tblStylePr w:type="band1Horz">
      <w:tblPr/>
      <w:tcPr>
        <w:tcBorders>
          <w:left w:val="nil"/>
          <w:right w:val="nil"/>
          <w:insideH w:val="nil"/>
          <w:insideV w:val="nil"/>
        </w:tcBorders>
        <w:shd w:val="clear" w:color="auto" w:fill="E7BAB8" w:themeFill="accent3" w:themeFillTint="3F"/>
      </w:tcPr>
    </w:tblStylePr>
  </w:style>
  <w:style w:type="table" w:styleId="LightShading-Accent4">
    <w:name w:val="Light Shading Accent 4"/>
    <w:basedOn w:val="TableNormal"/>
    <w:hidden/>
    <w:uiPriority w:val="60"/>
    <w:rsid w:val="00BB789B"/>
    <w:pPr>
      <w:spacing w:after="0" w:line="240" w:lineRule="auto"/>
    </w:pPr>
    <w:rPr>
      <w:color w:val="D32D4A" w:themeColor="accent4" w:themeShade="BF"/>
    </w:rPr>
    <w:tblPr>
      <w:tblStyleRowBandSize w:val="1"/>
      <w:tblStyleColBandSize w:val="1"/>
      <w:tblBorders>
        <w:top w:val="single" w:sz="8" w:space="0" w:color="E27588" w:themeColor="accent4"/>
        <w:bottom w:val="single" w:sz="8" w:space="0" w:color="E27588" w:themeColor="accent4"/>
      </w:tblBorders>
    </w:tblPr>
    <w:tblStylePr w:type="firstRow">
      <w:pPr>
        <w:spacing w:before="0" w:after="0" w:line="240" w:lineRule="auto"/>
      </w:pPr>
      <w:rPr>
        <w:b/>
        <w:bCs/>
      </w:rPr>
      <w:tblPr/>
      <w:tcPr>
        <w:tcBorders>
          <w:top w:val="single" w:sz="8" w:space="0" w:color="E27588" w:themeColor="accent4"/>
          <w:left w:val="nil"/>
          <w:bottom w:val="single" w:sz="8" w:space="0" w:color="E27588" w:themeColor="accent4"/>
          <w:right w:val="nil"/>
          <w:insideH w:val="nil"/>
          <w:insideV w:val="nil"/>
        </w:tcBorders>
      </w:tcPr>
    </w:tblStylePr>
    <w:tblStylePr w:type="lastRow">
      <w:pPr>
        <w:spacing w:before="0" w:after="0" w:line="240" w:lineRule="auto"/>
      </w:pPr>
      <w:rPr>
        <w:b/>
        <w:bCs/>
      </w:rPr>
      <w:tblPr/>
      <w:tcPr>
        <w:tcBorders>
          <w:top w:val="single" w:sz="8" w:space="0" w:color="E27588" w:themeColor="accent4"/>
          <w:left w:val="nil"/>
          <w:bottom w:val="single" w:sz="8" w:space="0" w:color="E27588"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DCE1" w:themeFill="accent4" w:themeFillTint="3F"/>
      </w:tcPr>
    </w:tblStylePr>
    <w:tblStylePr w:type="band1Horz">
      <w:tblPr/>
      <w:tcPr>
        <w:tcBorders>
          <w:left w:val="nil"/>
          <w:right w:val="nil"/>
          <w:insideH w:val="nil"/>
          <w:insideV w:val="nil"/>
        </w:tcBorders>
        <w:shd w:val="clear" w:color="auto" w:fill="F7DCE1" w:themeFill="accent4" w:themeFillTint="3F"/>
      </w:tcPr>
    </w:tblStylePr>
  </w:style>
  <w:style w:type="table" w:styleId="LightShading-Accent5">
    <w:name w:val="Light Shading Accent 5"/>
    <w:basedOn w:val="TableNormal"/>
    <w:hidden/>
    <w:uiPriority w:val="60"/>
    <w:rsid w:val="00BB789B"/>
    <w:pPr>
      <w:spacing w:after="0" w:line="240" w:lineRule="auto"/>
    </w:pPr>
    <w:rPr>
      <w:color w:val="7A1818" w:themeColor="accent5" w:themeShade="BF"/>
    </w:rPr>
    <w:tblPr>
      <w:tblStyleRowBandSize w:val="1"/>
      <w:tblStyleColBandSize w:val="1"/>
      <w:tblBorders>
        <w:top w:val="single" w:sz="8" w:space="0" w:color="A32020" w:themeColor="accent5"/>
        <w:bottom w:val="single" w:sz="8" w:space="0" w:color="A32020" w:themeColor="accent5"/>
      </w:tblBorders>
    </w:tblPr>
    <w:tblStylePr w:type="firstRow">
      <w:pPr>
        <w:spacing w:before="0" w:after="0" w:line="240" w:lineRule="auto"/>
      </w:pPr>
      <w:rPr>
        <w:b/>
        <w:bCs/>
      </w:rPr>
      <w:tblPr/>
      <w:tcPr>
        <w:tcBorders>
          <w:top w:val="single" w:sz="8" w:space="0" w:color="A32020" w:themeColor="accent5"/>
          <w:left w:val="nil"/>
          <w:bottom w:val="single" w:sz="8" w:space="0" w:color="A32020" w:themeColor="accent5"/>
          <w:right w:val="nil"/>
          <w:insideH w:val="nil"/>
          <w:insideV w:val="nil"/>
        </w:tcBorders>
      </w:tcPr>
    </w:tblStylePr>
    <w:tblStylePr w:type="lastRow">
      <w:pPr>
        <w:spacing w:before="0" w:after="0" w:line="240" w:lineRule="auto"/>
      </w:pPr>
      <w:rPr>
        <w:b/>
        <w:bCs/>
      </w:rPr>
      <w:tblPr/>
      <w:tcPr>
        <w:tcBorders>
          <w:top w:val="single" w:sz="8" w:space="0" w:color="A32020" w:themeColor="accent5"/>
          <w:left w:val="nil"/>
          <w:bottom w:val="single" w:sz="8" w:space="0" w:color="A3202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BDBD" w:themeFill="accent5" w:themeFillTint="3F"/>
      </w:tcPr>
    </w:tblStylePr>
    <w:tblStylePr w:type="band1Horz">
      <w:tblPr/>
      <w:tcPr>
        <w:tcBorders>
          <w:left w:val="nil"/>
          <w:right w:val="nil"/>
          <w:insideH w:val="nil"/>
          <w:insideV w:val="nil"/>
        </w:tcBorders>
        <w:shd w:val="clear" w:color="auto" w:fill="F2BDBD" w:themeFill="accent5" w:themeFillTint="3F"/>
      </w:tcPr>
    </w:tblStylePr>
  </w:style>
  <w:style w:type="table" w:styleId="LightShading-Accent6">
    <w:name w:val="Light Shading Accent 6"/>
    <w:basedOn w:val="TableNormal"/>
    <w:hidden/>
    <w:uiPriority w:val="60"/>
    <w:rsid w:val="00BB789B"/>
    <w:pPr>
      <w:spacing w:after="0" w:line="240" w:lineRule="auto"/>
    </w:pPr>
    <w:rPr>
      <w:color w:val="A72316" w:themeColor="accent6" w:themeShade="BF"/>
    </w:rPr>
    <w:tblPr>
      <w:tblStyleRowBandSize w:val="1"/>
      <w:tblStyleColBandSize w:val="1"/>
      <w:tblBorders>
        <w:top w:val="single" w:sz="8" w:space="0" w:color="E0301E" w:themeColor="accent6"/>
        <w:bottom w:val="single" w:sz="8" w:space="0" w:color="E0301E" w:themeColor="accent6"/>
      </w:tblBorders>
    </w:tblPr>
    <w:tblStylePr w:type="firstRow">
      <w:pPr>
        <w:spacing w:before="0" w:after="0" w:line="240" w:lineRule="auto"/>
      </w:pPr>
      <w:rPr>
        <w:b/>
        <w:bCs/>
      </w:rPr>
      <w:tblPr/>
      <w:tcPr>
        <w:tcBorders>
          <w:top w:val="single" w:sz="8" w:space="0" w:color="E0301E" w:themeColor="accent6"/>
          <w:left w:val="nil"/>
          <w:bottom w:val="single" w:sz="8" w:space="0" w:color="E0301E" w:themeColor="accent6"/>
          <w:right w:val="nil"/>
          <w:insideH w:val="nil"/>
          <w:insideV w:val="nil"/>
        </w:tcBorders>
      </w:tcPr>
    </w:tblStylePr>
    <w:tblStylePr w:type="lastRow">
      <w:pPr>
        <w:spacing w:before="0" w:after="0" w:line="240" w:lineRule="auto"/>
      </w:pPr>
      <w:rPr>
        <w:b/>
        <w:bCs/>
      </w:rPr>
      <w:tblPr/>
      <w:tcPr>
        <w:tcBorders>
          <w:top w:val="single" w:sz="8" w:space="0" w:color="E0301E" w:themeColor="accent6"/>
          <w:left w:val="nil"/>
          <w:bottom w:val="single" w:sz="8" w:space="0" w:color="E0301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BC7" w:themeFill="accent6" w:themeFillTint="3F"/>
      </w:tcPr>
    </w:tblStylePr>
    <w:tblStylePr w:type="band1Horz">
      <w:tblPr/>
      <w:tcPr>
        <w:tcBorders>
          <w:left w:val="nil"/>
          <w:right w:val="nil"/>
          <w:insideH w:val="nil"/>
          <w:insideV w:val="nil"/>
        </w:tcBorders>
        <w:shd w:val="clear" w:color="auto" w:fill="F7CBC7" w:themeFill="accent6" w:themeFillTint="3F"/>
      </w:tcPr>
    </w:tblStylePr>
  </w:style>
  <w:style w:type="character" w:styleId="LineNumber">
    <w:name w:val="line number"/>
    <w:basedOn w:val="DefaultParagraphFont"/>
    <w:hidden/>
    <w:uiPriority w:val="99"/>
    <w:semiHidden/>
    <w:unhideWhenUsed/>
    <w:rsid w:val="00BB789B"/>
  </w:style>
  <w:style w:type="table" w:customStyle="1" w:styleId="MediumGrid11">
    <w:name w:val="Medium Grid 11"/>
    <w:basedOn w:val="TableNormal"/>
    <w:hidden/>
    <w:uiPriority w:val="67"/>
    <w:rsid w:val="00BB789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hidden/>
    <w:uiPriority w:val="67"/>
    <w:rsid w:val="00BB789B"/>
    <w:pPr>
      <w:spacing w:after="0" w:line="240" w:lineRule="auto"/>
    </w:pPr>
    <w:tblPr>
      <w:tblStyleRowBandSize w:val="1"/>
      <w:tblStyleColBandSize w:val="1"/>
      <w:tblBorders>
        <w:top w:val="single" w:sz="8" w:space="0" w:color="FF8C25" w:themeColor="accent1" w:themeTint="BF"/>
        <w:left w:val="single" w:sz="8" w:space="0" w:color="FF8C25" w:themeColor="accent1" w:themeTint="BF"/>
        <w:bottom w:val="single" w:sz="8" w:space="0" w:color="FF8C25" w:themeColor="accent1" w:themeTint="BF"/>
        <w:right w:val="single" w:sz="8" w:space="0" w:color="FF8C25" w:themeColor="accent1" w:themeTint="BF"/>
        <w:insideH w:val="single" w:sz="8" w:space="0" w:color="FF8C25" w:themeColor="accent1" w:themeTint="BF"/>
        <w:insideV w:val="single" w:sz="8" w:space="0" w:color="FF8C25" w:themeColor="accent1" w:themeTint="BF"/>
      </w:tblBorders>
    </w:tblPr>
    <w:tcPr>
      <w:shd w:val="clear" w:color="auto" w:fill="FFD9B7" w:themeFill="accent1" w:themeFillTint="3F"/>
    </w:tcPr>
    <w:tblStylePr w:type="firstRow">
      <w:rPr>
        <w:b/>
        <w:bCs/>
      </w:rPr>
    </w:tblStylePr>
    <w:tblStylePr w:type="lastRow">
      <w:rPr>
        <w:b/>
        <w:bCs/>
      </w:rPr>
      <w:tblPr/>
      <w:tcPr>
        <w:tcBorders>
          <w:top w:val="single" w:sz="18" w:space="0" w:color="FF8C25" w:themeColor="accent1" w:themeTint="BF"/>
        </w:tcBorders>
      </w:tcPr>
    </w:tblStylePr>
    <w:tblStylePr w:type="firstCol">
      <w:rPr>
        <w:b/>
        <w:bCs/>
      </w:rPr>
    </w:tblStylePr>
    <w:tblStylePr w:type="lastCol">
      <w:rPr>
        <w:b/>
        <w:bCs/>
      </w:rPr>
    </w:tblStylePr>
    <w:tblStylePr w:type="band1Vert">
      <w:tblPr/>
      <w:tcPr>
        <w:shd w:val="clear" w:color="auto" w:fill="FFB26E" w:themeFill="accent1" w:themeFillTint="7F"/>
      </w:tcPr>
    </w:tblStylePr>
    <w:tblStylePr w:type="band1Horz">
      <w:tblPr/>
      <w:tcPr>
        <w:shd w:val="clear" w:color="auto" w:fill="FFB26E" w:themeFill="accent1" w:themeFillTint="7F"/>
      </w:tcPr>
    </w:tblStylePr>
  </w:style>
  <w:style w:type="table" w:styleId="MediumGrid1-Accent2">
    <w:name w:val="Medium Grid 1 Accent 2"/>
    <w:basedOn w:val="TableNormal"/>
    <w:hidden/>
    <w:uiPriority w:val="67"/>
    <w:rsid w:val="00BB789B"/>
    <w:pPr>
      <w:spacing w:after="0" w:line="240" w:lineRule="auto"/>
    </w:pPr>
    <w:tblPr>
      <w:tblStyleRowBandSize w:val="1"/>
      <w:tblStyleColBandSize w:val="1"/>
      <w:tblBorders>
        <w:top w:val="single" w:sz="8" w:space="0" w:color="FFC840" w:themeColor="accent2" w:themeTint="BF"/>
        <w:left w:val="single" w:sz="8" w:space="0" w:color="FFC840" w:themeColor="accent2" w:themeTint="BF"/>
        <w:bottom w:val="single" w:sz="8" w:space="0" w:color="FFC840" w:themeColor="accent2" w:themeTint="BF"/>
        <w:right w:val="single" w:sz="8" w:space="0" w:color="FFC840" w:themeColor="accent2" w:themeTint="BF"/>
        <w:insideH w:val="single" w:sz="8" w:space="0" w:color="FFC840" w:themeColor="accent2" w:themeTint="BF"/>
        <w:insideV w:val="single" w:sz="8" w:space="0" w:color="FFC840" w:themeColor="accent2" w:themeTint="BF"/>
      </w:tblBorders>
    </w:tblPr>
    <w:tcPr>
      <w:shd w:val="clear" w:color="auto" w:fill="FFECC0" w:themeFill="accent2" w:themeFillTint="3F"/>
    </w:tcPr>
    <w:tblStylePr w:type="firstRow">
      <w:rPr>
        <w:b/>
        <w:bCs/>
      </w:rPr>
    </w:tblStylePr>
    <w:tblStylePr w:type="lastRow">
      <w:rPr>
        <w:b/>
        <w:bCs/>
      </w:rPr>
      <w:tblPr/>
      <w:tcPr>
        <w:tcBorders>
          <w:top w:val="single" w:sz="18" w:space="0" w:color="FFC840" w:themeColor="accent2" w:themeTint="BF"/>
        </w:tcBorders>
      </w:tcPr>
    </w:tblStylePr>
    <w:tblStylePr w:type="firstCol">
      <w:rPr>
        <w:b/>
        <w:bCs/>
      </w:rPr>
    </w:tblStylePr>
    <w:tblStylePr w:type="lastCol">
      <w:rPr>
        <w:b/>
        <w:bCs/>
      </w:rPr>
    </w:tblStylePr>
    <w:tblStylePr w:type="band1Vert">
      <w:tblPr/>
      <w:tcPr>
        <w:shd w:val="clear" w:color="auto" w:fill="FFDA80" w:themeFill="accent2" w:themeFillTint="7F"/>
      </w:tcPr>
    </w:tblStylePr>
    <w:tblStylePr w:type="band1Horz">
      <w:tblPr/>
      <w:tcPr>
        <w:shd w:val="clear" w:color="auto" w:fill="FFDA80" w:themeFill="accent2" w:themeFillTint="7F"/>
      </w:tcPr>
    </w:tblStylePr>
  </w:style>
  <w:style w:type="table" w:styleId="MediumGrid1-Accent3">
    <w:name w:val="Medium Grid 1 Accent 3"/>
    <w:basedOn w:val="TableNormal"/>
    <w:hidden/>
    <w:uiPriority w:val="67"/>
    <w:rsid w:val="00BB789B"/>
    <w:pPr>
      <w:spacing w:after="0" w:line="240" w:lineRule="auto"/>
    </w:pPr>
    <w:tblPr>
      <w:tblStyleRowBandSize w:val="1"/>
      <w:tblStyleColBandSize w:val="1"/>
      <w:tblBorders>
        <w:top w:val="single" w:sz="8"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single" w:sz="8" w:space="0" w:color="A73C38" w:themeColor="accent3" w:themeTint="BF"/>
        <w:insideV w:val="single" w:sz="8" w:space="0" w:color="A73C38" w:themeColor="accent3" w:themeTint="BF"/>
      </w:tblBorders>
    </w:tblPr>
    <w:tcPr>
      <w:shd w:val="clear" w:color="auto" w:fill="E7BAB8" w:themeFill="accent3" w:themeFillTint="3F"/>
    </w:tcPr>
    <w:tblStylePr w:type="firstRow">
      <w:rPr>
        <w:b/>
        <w:bCs/>
      </w:rPr>
    </w:tblStylePr>
    <w:tblStylePr w:type="lastRow">
      <w:rPr>
        <w:b/>
        <w:bCs/>
      </w:rPr>
      <w:tblPr/>
      <w:tcPr>
        <w:tcBorders>
          <w:top w:val="single" w:sz="18" w:space="0" w:color="A73C38" w:themeColor="accent3" w:themeTint="BF"/>
        </w:tcBorders>
      </w:tcPr>
    </w:tblStylePr>
    <w:tblStylePr w:type="firstCol">
      <w:rPr>
        <w:b/>
        <w:bCs/>
      </w:rPr>
    </w:tblStylePr>
    <w:tblStylePr w:type="lastCol">
      <w:rPr>
        <w:b/>
        <w:bCs/>
      </w:rPr>
    </w:tblStylePr>
    <w:tblStylePr w:type="band1Vert">
      <w:tblPr/>
      <w:tcPr>
        <w:shd w:val="clear" w:color="auto" w:fill="CF7470" w:themeFill="accent3" w:themeFillTint="7F"/>
      </w:tcPr>
    </w:tblStylePr>
    <w:tblStylePr w:type="band1Horz">
      <w:tblPr/>
      <w:tcPr>
        <w:shd w:val="clear" w:color="auto" w:fill="CF7470" w:themeFill="accent3" w:themeFillTint="7F"/>
      </w:tcPr>
    </w:tblStylePr>
  </w:style>
  <w:style w:type="table" w:styleId="MediumGrid1-Accent4">
    <w:name w:val="Medium Grid 1 Accent 4"/>
    <w:basedOn w:val="TableNormal"/>
    <w:hidden/>
    <w:uiPriority w:val="67"/>
    <w:rsid w:val="00BB789B"/>
    <w:pPr>
      <w:spacing w:after="0" w:line="240" w:lineRule="auto"/>
    </w:pPr>
    <w:tblPr>
      <w:tblStyleRowBandSize w:val="1"/>
      <w:tblStyleColBandSize w:val="1"/>
      <w:tblBorders>
        <w:top w:val="single" w:sz="8" w:space="0" w:color="E997A5" w:themeColor="accent4" w:themeTint="BF"/>
        <w:left w:val="single" w:sz="8" w:space="0" w:color="E997A5" w:themeColor="accent4" w:themeTint="BF"/>
        <w:bottom w:val="single" w:sz="8" w:space="0" w:color="E997A5" w:themeColor="accent4" w:themeTint="BF"/>
        <w:right w:val="single" w:sz="8" w:space="0" w:color="E997A5" w:themeColor="accent4" w:themeTint="BF"/>
        <w:insideH w:val="single" w:sz="8" w:space="0" w:color="E997A5" w:themeColor="accent4" w:themeTint="BF"/>
        <w:insideV w:val="single" w:sz="8" w:space="0" w:color="E997A5" w:themeColor="accent4" w:themeTint="BF"/>
      </w:tblBorders>
    </w:tblPr>
    <w:tcPr>
      <w:shd w:val="clear" w:color="auto" w:fill="F7DCE1" w:themeFill="accent4" w:themeFillTint="3F"/>
    </w:tcPr>
    <w:tblStylePr w:type="firstRow">
      <w:rPr>
        <w:b/>
        <w:bCs/>
      </w:rPr>
    </w:tblStylePr>
    <w:tblStylePr w:type="lastRow">
      <w:rPr>
        <w:b/>
        <w:bCs/>
      </w:rPr>
      <w:tblPr/>
      <w:tcPr>
        <w:tcBorders>
          <w:top w:val="single" w:sz="18" w:space="0" w:color="E997A5" w:themeColor="accent4" w:themeTint="BF"/>
        </w:tcBorders>
      </w:tcPr>
    </w:tblStylePr>
    <w:tblStylePr w:type="firstCol">
      <w:rPr>
        <w:b/>
        <w:bCs/>
      </w:rPr>
    </w:tblStylePr>
    <w:tblStylePr w:type="lastCol">
      <w:rPr>
        <w:b/>
        <w:bCs/>
      </w:rPr>
    </w:tblStylePr>
    <w:tblStylePr w:type="band1Vert">
      <w:tblPr/>
      <w:tcPr>
        <w:shd w:val="clear" w:color="auto" w:fill="F0BAC3" w:themeFill="accent4" w:themeFillTint="7F"/>
      </w:tcPr>
    </w:tblStylePr>
    <w:tblStylePr w:type="band1Horz">
      <w:tblPr/>
      <w:tcPr>
        <w:shd w:val="clear" w:color="auto" w:fill="F0BAC3" w:themeFill="accent4" w:themeFillTint="7F"/>
      </w:tcPr>
    </w:tblStylePr>
  </w:style>
  <w:style w:type="table" w:styleId="MediumGrid1-Accent5">
    <w:name w:val="Medium Grid 1 Accent 5"/>
    <w:basedOn w:val="TableNormal"/>
    <w:hidden/>
    <w:uiPriority w:val="67"/>
    <w:rsid w:val="00BB789B"/>
    <w:pPr>
      <w:spacing w:after="0" w:line="240" w:lineRule="auto"/>
    </w:pPr>
    <w:tblPr>
      <w:tblStyleRowBandSize w:val="1"/>
      <w:tblStyleColBandSize w:val="1"/>
      <w:tblBorders>
        <w:top w:val="single" w:sz="8" w:space="0" w:color="D83939" w:themeColor="accent5" w:themeTint="BF"/>
        <w:left w:val="single" w:sz="8" w:space="0" w:color="D83939" w:themeColor="accent5" w:themeTint="BF"/>
        <w:bottom w:val="single" w:sz="8" w:space="0" w:color="D83939" w:themeColor="accent5" w:themeTint="BF"/>
        <w:right w:val="single" w:sz="8" w:space="0" w:color="D83939" w:themeColor="accent5" w:themeTint="BF"/>
        <w:insideH w:val="single" w:sz="8" w:space="0" w:color="D83939" w:themeColor="accent5" w:themeTint="BF"/>
        <w:insideV w:val="single" w:sz="8" w:space="0" w:color="D83939" w:themeColor="accent5" w:themeTint="BF"/>
      </w:tblBorders>
    </w:tblPr>
    <w:tcPr>
      <w:shd w:val="clear" w:color="auto" w:fill="F2BDBD" w:themeFill="accent5" w:themeFillTint="3F"/>
    </w:tcPr>
    <w:tblStylePr w:type="firstRow">
      <w:rPr>
        <w:b/>
        <w:bCs/>
      </w:rPr>
    </w:tblStylePr>
    <w:tblStylePr w:type="lastRow">
      <w:rPr>
        <w:b/>
        <w:bCs/>
      </w:rPr>
      <w:tblPr/>
      <w:tcPr>
        <w:tcBorders>
          <w:top w:val="single" w:sz="18" w:space="0" w:color="D83939" w:themeColor="accent5" w:themeTint="BF"/>
        </w:tcBorders>
      </w:tcPr>
    </w:tblStylePr>
    <w:tblStylePr w:type="firstCol">
      <w:rPr>
        <w:b/>
        <w:bCs/>
      </w:rPr>
    </w:tblStylePr>
    <w:tblStylePr w:type="lastCol">
      <w:rPr>
        <w:b/>
        <w:bCs/>
      </w:rPr>
    </w:tblStylePr>
    <w:tblStylePr w:type="band1Vert">
      <w:tblPr/>
      <w:tcPr>
        <w:shd w:val="clear" w:color="auto" w:fill="E57B7B" w:themeFill="accent5" w:themeFillTint="7F"/>
      </w:tcPr>
    </w:tblStylePr>
    <w:tblStylePr w:type="band1Horz">
      <w:tblPr/>
      <w:tcPr>
        <w:shd w:val="clear" w:color="auto" w:fill="E57B7B" w:themeFill="accent5" w:themeFillTint="7F"/>
      </w:tcPr>
    </w:tblStylePr>
  </w:style>
  <w:style w:type="table" w:styleId="MediumGrid1-Accent6">
    <w:name w:val="Medium Grid 1 Accent 6"/>
    <w:basedOn w:val="TableNormal"/>
    <w:hidden/>
    <w:uiPriority w:val="67"/>
    <w:rsid w:val="00BB789B"/>
    <w:pPr>
      <w:spacing w:after="0" w:line="240" w:lineRule="auto"/>
    </w:pPr>
    <w:tblPr>
      <w:tblStyleRowBandSize w:val="1"/>
      <w:tblStyleColBandSize w:val="1"/>
      <w:tblBorders>
        <w:top w:val="single" w:sz="8" w:space="0" w:color="E86255" w:themeColor="accent6" w:themeTint="BF"/>
        <w:left w:val="single" w:sz="8" w:space="0" w:color="E86255" w:themeColor="accent6" w:themeTint="BF"/>
        <w:bottom w:val="single" w:sz="8" w:space="0" w:color="E86255" w:themeColor="accent6" w:themeTint="BF"/>
        <w:right w:val="single" w:sz="8" w:space="0" w:color="E86255" w:themeColor="accent6" w:themeTint="BF"/>
        <w:insideH w:val="single" w:sz="8" w:space="0" w:color="E86255" w:themeColor="accent6" w:themeTint="BF"/>
        <w:insideV w:val="single" w:sz="8" w:space="0" w:color="E86255" w:themeColor="accent6" w:themeTint="BF"/>
      </w:tblBorders>
    </w:tblPr>
    <w:tcPr>
      <w:shd w:val="clear" w:color="auto" w:fill="F7CBC7" w:themeFill="accent6" w:themeFillTint="3F"/>
    </w:tcPr>
    <w:tblStylePr w:type="firstRow">
      <w:rPr>
        <w:b/>
        <w:bCs/>
      </w:rPr>
    </w:tblStylePr>
    <w:tblStylePr w:type="lastRow">
      <w:rPr>
        <w:b/>
        <w:bCs/>
      </w:rPr>
      <w:tblPr/>
      <w:tcPr>
        <w:tcBorders>
          <w:top w:val="single" w:sz="18" w:space="0" w:color="E86255" w:themeColor="accent6" w:themeTint="BF"/>
        </w:tcBorders>
      </w:tcPr>
    </w:tblStylePr>
    <w:tblStylePr w:type="firstCol">
      <w:rPr>
        <w:b/>
        <w:bCs/>
      </w:rPr>
    </w:tblStylePr>
    <w:tblStylePr w:type="lastCol">
      <w:rPr>
        <w:b/>
        <w:bCs/>
      </w:rPr>
    </w:tblStylePr>
    <w:tblStylePr w:type="band1Vert">
      <w:tblPr/>
      <w:tcPr>
        <w:shd w:val="clear" w:color="auto" w:fill="F0978E" w:themeFill="accent6" w:themeFillTint="7F"/>
      </w:tcPr>
    </w:tblStylePr>
    <w:tblStylePr w:type="band1Horz">
      <w:tblPr/>
      <w:tcPr>
        <w:shd w:val="clear" w:color="auto" w:fill="F0978E" w:themeFill="accent6" w:themeFillTint="7F"/>
      </w:tcPr>
    </w:tblStylePr>
  </w:style>
  <w:style w:type="table" w:customStyle="1" w:styleId="MediumGrid21">
    <w:name w:val="Medium Grid 21"/>
    <w:basedOn w:val="TableNormal"/>
    <w:hidden/>
    <w:uiPriority w:val="68"/>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hidden/>
    <w:uiPriority w:val="68"/>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C6900" w:themeColor="accent1"/>
        <w:left w:val="single" w:sz="8" w:space="0" w:color="DC6900" w:themeColor="accent1"/>
        <w:bottom w:val="single" w:sz="8" w:space="0" w:color="DC6900" w:themeColor="accent1"/>
        <w:right w:val="single" w:sz="8" w:space="0" w:color="DC6900" w:themeColor="accent1"/>
        <w:insideH w:val="single" w:sz="8" w:space="0" w:color="DC6900" w:themeColor="accent1"/>
        <w:insideV w:val="single" w:sz="8" w:space="0" w:color="DC6900" w:themeColor="accent1"/>
      </w:tblBorders>
    </w:tblPr>
    <w:tcPr>
      <w:shd w:val="clear" w:color="auto" w:fill="FFD9B7" w:themeFill="accent1" w:themeFillTint="3F"/>
    </w:tcPr>
    <w:tblStylePr w:type="firstRow">
      <w:rPr>
        <w:b/>
        <w:bCs/>
        <w:color w:val="000000" w:themeColor="text1"/>
      </w:rPr>
      <w:tblPr/>
      <w:tcPr>
        <w:shd w:val="clear" w:color="auto" w:fill="FFEFE2"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E0C5" w:themeFill="accent1" w:themeFillTint="33"/>
      </w:tcPr>
    </w:tblStylePr>
    <w:tblStylePr w:type="band1Vert">
      <w:tblPr/>
      <w:tcPr>
        <w:shd w:val="clear" w:color="auto" w:fill="FFB26E" w:themeFill="accent1" w:themeFillTint="7F"/>
      </w:tcPr>
    </w:tblStylePr>
    <w:tblStylePr w:type="band1Horz">
      <w:tblPr/>
      <w:tcPr>
        <w:tcBorders>
          <w:insideH w:val="single" w:sz="6" w:space="0" w:color="DC6900" w:themeColor="accent1"/>
          <w:insideV w:val="single" w:sz="6" w:space="0" w:color="DC6900" w:themeColor="accent1"/>
        </w:tcBorders>
        <w:shd w:val="clear" w:color="auto" w:fill="FFB26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hidden/>
    <w:uiPriority w:val="68"/>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B600" w:themeColor="accent2"/>
        <w:left w:val="single" w:sz="8" w:space="0" w:color="FFB600" w:themeColor="accent2"/>
        <w:bottom w:val="single" w:sz="8" w:space="0" w:color="FFB600" w:themeColor="accent2"/>
        <w:right w:val="single" w:sz="8" w:space="0" w:color="FFB600" w:themeColor="accent2"/>
        <w:insideH w:val="single" w:sz="8" w:space="0" w:color="FFB600" w:themeColor="accent2"/>
        <w:insideV w:val="single" w:sz="8" w:space="0" w:color="FFB600" w:themeColor="accent2"/>
      </w:tblBorders>
    </w:tblPr>
    <w:tcPr>
      <w:shd w:val="clear" w:color="auto" w:fill="FFECC0" w:themeFill="accent2" w:themeFillTint="3F"/>
    </w:tcPr>
    <w:tblStylePr w:type="firstRow">
      <w:rPr>
        <w:b/>
        <w:bCs/>
        <w:color w:val="000000" w:themeColor="text1"/>
      </w:rPr>
      <w:tblPr/>
      <w:tcPr>
        <w:shd w:val="clear" w:color="auto" w:fill="FFF7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0CC" w:themeFill="accent2" w:themeFillTint="33"/>
      </w:tcPr>
    </w:tblStylePr>
    <w:tblStylePr w:type="band1Vert">
      <w:tblPr/>
      <w:tcPr>
        <w:shd w:val="clear" w:color="auto" w:fill="FFDA80" w:themeFill="accent2" w:themeFillTint="7F"/>
      </w:tcPr>
    </w:tblStylePr>
    <w:tblStylePr w:type="band1Horz">
      <w:tblPr/>
      <w:tcPr>
        <w:tcBorders>
          <w:insideH w:val="single" w:sz="6" w:space="0" w:color="FFB600" w:themeColor="accent2"/>
          <w:insideV w:val="single" w:sz="6" w:space="0" w:color="FFB600" w:themeColor="accent2"/>
        </w:tcBorders>
        <w:shd w:val="clear" w:color="auto" w:fill="FFDA8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hidden/>
    <w:uiPriority w:val="68"/>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2320" w:themeColor="accent3"/>
        <w:left w:val="single" w:sz="8" w:space="0" w:color="602320" w:themeColor="accent3"/>
        <w:bottom w:val="single" w:sz="8" w:space="0" w:color="602320" w:themeColor="accent3"/>
        <w:right w:val="single" w:sz="8" w:space="0" w:color="602320" w:themeColor="accent3"/>
        <w:insideH w:val="single" w:sz="8" w:space="0" w:color="602320" w:themeColor="accent3"/>
        <w:insideV w:val="single" w:sz="8" w:space="0" w:color="602320" w:themeColor="accent3"/>
      </w:tblBorders>
    </w:tblPr>
    <w:tcPr>
      <w:shd w:val="clear" w:color="auto" w:fill="E7BAB8" w:themeFill="accent3" w:themeFillTint="3F"/>
    </w:tcPr>
    <w:tblStylePr w:type="firstRow">
      <w:rPr>
        <w:b/>
        <w:bCs/>
        <w:color w:val="000000" w:themeColor="text1"/>
      </w:rPr>
      <w:tblPr/>
      <w:tcPr>
        <w:shd w:val="clear" w:color="auto" w:fill="F5E3E2"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C7C5" w:themeFill="accent3" w:themeFillTint="33"/>
      </w:tcPr>
    </w:tblStylePr>
    <w:tblStylePr w:type="band1Vert">
      <w:tblPr/>
      <w:tcPr>
        <w:shd w:val="clear" w:color="auto" w:fill="CF7470" w:themeFill="accent3" w:themeFillTint="7F"/>
      </w:tcPr>
    </w:tblStylePr>
    <w:tblStylePr w:type="band1Horz">
      <w:tblPr/>
      <w:tcPr>
        <w:tcBorders>
          <w:insideH w:val="single" w:sz="6" w:space="0" w:color="602320" w:themeColor="accent3"/>
          <w:insideV w:val="single" w:sz="6" w:space="0" w:color="602320" w:themeColor="accent3"/>
        </w:tcBorders>
        <w:shd w:val="clear" w:color="auto" w:fill="CF747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hidden/>
    <w:uiPriority w:val="68"/>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27588" w:themeColor="accent4"/>
        <w:left w:val="single" w:sz="8" w:space="0" w:color="E27588" w:themeColor="accent4"/>
        <w:bottom w:val="single" w:sz="8" w:space="0" w:color="E27588" w:themeColor="accent4"/>
        <w:right w:val="single" w:sz="8" w:space="0" w:color="E27588" w:themeColor="accent4"/>
        <w:insideH w:val="single" w:sz="8" w:space="0" w:color="E27588" w:themeColor="accent4"/>
        <w:insideV w:val="single" w:sz="8" w:space="0" w:color="E27588" w:themeColor="accent4"/>
      </w:tblBorders>
    </w:tblPr>
    <w:tcPr>
      <w:shd w:val="clear" w:color="auto" w:fill="F7DCE1" w:themeFill="accent4" w:themeFillTint="3F"/>
    </w:tcPr>
    <w:tblStylePr w:type="firstRow">
      <w:rPr>
        <w:b/>
        <w:bCs/>
        <w:color w:val="000000" w:themeColor="text1"/>
      </w:rPr>
      <w:tblPr/>
      <w:tcPr>
        <w:shd w:val="clear" w:color="auto" w:fill="FCF1F3"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E3E6" w:themeFill="accent4" w:themeFillTint="33"/>
      </w:tcPr>
    </w:tblStylePr>
    <w:tblStylePr w:type="band1Vert">
      <w:tblPr/>
      <w:tcPr>
        <w:shd w:val="clear" w:color="auto" w:fill="F0BAC3" w:themeFill="accent4" w:themeFillTint="7F"/>
      </w:tcPr>
    </w:tblStylePr>
    <w:tblStylePr w:type="band1Horz">
      <w:tblPr/>
      <w:tcPr>
        <w:tcBorders>
          <w:insideH w:val="single" w:sz="6" w:space="0" w:color="E27588" w:themeColor="accent4"/>
          <w:insideV w:val="single" w:sz="6" w:space="0" w:color="E27588" w:themeColor="accent4"/>
        </w:tcBorders>
        <w:shd w:val="clear" w:color="auto" w:fill="F0BAC3"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hidden/>
    <w:uiPriority w:val="68"/>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32020" w:themeColor="accent5"/>
        <w:left w:val="single" w:sz="8" w:space="0" w:color="A32020" w:themeColor="accent5"/>
        <w:bottom w:val="single" w:sz="8" w:space="0" w:color="A32020" w:themeColor="accent5"/>
        <w:right w:val="single" w:sz="8" w:space="0" w:color="A32020" w:themeColor="accent5"/>
        <w:insideH w:val="single" w:sz="8" w:space="0" w:color="A32020" w:themeColor="accent5"/>
        <w:insideV w:val="single" w:sz="8" w:space="0" w:color="A32020" w:themeColor="accent5"/>
      </w:tblBorders>
    </w:tblPr>
    <w:tcPr>
      <w:shd w:val="clear" w:color="auto" w:fill="F2BDBD" w:themeFill="accent5" w:themeFillTint="3F"/>
    </w:tcPr>
    <w:tblStylePr w:type="firstRow">
      <w:rPr>
        <w:b/>
        <w:bCs/>
        <w:color w:val="000000" w:themeColor="text1"/>
      </w:rPr>
      <w:tblPr/>
      <w:tcPr>
        <w:shd w:val="clear" w:color="auto" w:fill="FAE5E5"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4CACA" w:themeFill="accent5" w:themeFillTint="33"/>
      </w:tcPr>
    </w:tblStylePr>
    <w:tblStylePr w:type="band1Vert">
      <w:tblPr/>
      <w:tcPr>
        <w:shd w:val="clear" w:color="auto" w:fill="E57B7B" w:themeFill="accent5" w:themeFillTint="7F"/>
      </w:tcPr>
    </w:tblStylePr>
    <w:tblStylePr w:type="band1Horz">
      <w:tblPr/>
      <w:tcPr>
        <w:tcBorders>
          <w:insideH w:val="single" w:sz="6" w:space="0" w:color="A32020" w:themeColor="accent5"/>
          <w:insideV w:val="single" w:sz="6" w:space="0" w:color="A32020" w:themeColor="accent5"/>
        </w:tcBorders>
        <w:shd w:val="clear" w:color="auto" w:fill="E57B7B"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hidden/>
    <w:uiPriority w:val="68"/>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01E" w:themeColor="accent6"/>
        <w:left w:val="single" w:sz="8" w:space="0" w:color="E0301E" w:themeColor="accent6"/>
        <w:bottom w:val="single" w:sz="8" w:space="0" w:color="E0301E" w:themeColor="accent6"/>
        <w:right w:val="single" w:sz="8" w:space="0" w:color="E0301E" w:themeColor="accent6"/>
        <w:insideH w:val="single" w:sz="8" w:space="0" w:color="E0301E" w:themeColor="accent6"/>
        <w:insideV w:val="single" w:sz="8" w:space="0" w:color="E0301E" w:themeColor="accent6"/>
      </w:tblBorders>
    </w:tblPr>
    <w:tcPr>
      <w:shd w:val="clear" w:color="auto" w:fill="F7CBC7" w:themeFill="accent6" w:themeFillTint="3F"/>
    </w:tcPr>
    <w:tblStylePr w:type="firstRow">
      <w:rPr>
        <w:b/>
        <w:bCs/>
        <w:color w:val="000000" w:themeColor="text1"/>
      </w:rPr>
      <w:tblPr/>
      <w:tcPr>
        <w:shd w:val="clear" w:color="auto" w:fill="FCEA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D5D1" w:themeFill="accent6" w:themeFillTint="33"/>
      </w:tcPr>
    </w:tblStylePr>
    <w:tblStylePr w:type="band1Vert">
      <w:tblPr/>
      <w:tcPr>
        <w:shd w:val="clear" w:color="auto" w:fill="F0978E" w:themeFill="accent6" w:themeFillTint="7F"/>
      </w:tcPr>
    </w:tblStylePr>
    <w:tblStylePr w:type="band1Horz">
      <w:tblPr/>
      <w:tcPr>
        <w:tcBorders>
          <w:insideH w:val="single" w:sz="6" w:space="0" w:color="E0301E" w:themeColor="accent6"/>
          <w:insideV w:val="single" w:sz="6" w:space="0" w:color="E0301E" w:themeColor="accent6"/>
        </w:tcBorders>
        <w:shd w:val="clear" w:color="auto" w:fill="F0978E" w:themeFill="accent6" w:themeFillTint="7F"/>
      </w:tcPr>
    </w:tblStylePr>
    <w:tblStylePr w:type="nwCell">
      <w:tblPr/>
      <w:tcPr>
        <w:shd w:val="clear" w:color="auto" w:fill="FFFFFF" w:themeFill="background1"/>
      </w:tcPr>
    </w:tblStylePr>
  </w:style>
  <w:style w:type="table" w:customStyle="1" w:styleId="MediumGrid31">
    <w:name w:val="Medium Grid 31"/>
    <w:basedOn w:val="TableNormal"/>
    <w:hidden/>
    <w:uiPriority w:val="69"/>
    <w:rsid w:val="00BB78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hidden/>
    <w:uiPriority w:val="69"/>
    <w:rsid w:val="00BB78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9B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C690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C690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C690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C690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B26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B26E" w:themeFill="accent1" w:themeFillTint="7F"/>
      </w:tcPr>
    </w:tblStylePr>
  </w:style>
  <w:style w:type="table" w:styleId="MediumGrid3-Accent2">
    <w:name w:val="Medium Grid 3 Accent 2"/>
    <w:basedOn w:val="TableNormal"/>
    <w:hidden/>
    <w:uiPriority w:val="69"/>
    <w:rsid w:val="00BB78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C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B6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B6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B6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B6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A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A80" w:themeFill="accent2" w:themeFillTint="7F"/>
      </w:tcPr>
    </w:tblStylePr>
  </w:style>
  <w:style w:type="table" w:styleId="MediumGrid3-Accent3">
    <w:name w:val="Medium Grid 3 Accent 3"/>
    <w:basedOn w:val="TableNormal"/>
    <w:hidden/>
    <w:uiPriority w:val="69"/>
    <w:rsid w:val="00BB78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BAB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02320"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02320"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02320"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02320"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747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7470" w:themeFill="accent3" w:themeFillTint="7F"/>
      </w:tcPr>
    </w:tblStylePr>
  </w:style>
  <w:style w:type="table" w:styleId="MediumGrid3-Accent4">
    <w:name w:val="Medium Grid 3 Accent 4"/>
    <w:basedOn w:val="TableNormal"/>
    <w:hidden/>
    <w:uiPriority w:val="69"/>
    <w:rsid w:val="00BB78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DCE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27588"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27588"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27588"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27588"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BAC3"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BAC3" w:themeFill="accent4" w:themeFillTint="7F"/>
      </w:tcPr>
    </w:tblStylePr>
  </w:style>
  <w:style w:type="table" w:styleId="MediumGrid3-Accent5">
    <w:name w:val="Medium Grid 3 Accent 5"/>
    <w:basedOn w:val="TableNormal"/>
    <w:hidden/>
    <w:uiPriority w:val="69"/>
    <w:rsid w:val="00BB78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BDB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3202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3202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3202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3202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7B7B"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7B7B" w:themeFill="accent5" w:themeFillTint="7F"/>
      </w:tcPr>
    </w:tblStylePr>
  </w:style>
  <w:style w:type="table" w:styleId="MediumGrid3-Accent6">
    <w:name w:val="Medium Grid 3 Accent 6"/>
    <w:basedOn w:val="TableNormal"/>
    <w:hidden/>
    <w:uiPriority w:val="69"/>
    <w:rsid w:val="00BB789B"/>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CBC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301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301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301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301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0978E"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0978E" w:themeFill="accent6" w:themeFillTint="7F"/>
      </w:tcPr>
    </w:tblStylePr>
  </w:style>
  <w:style w:type="table" w:customStyle="1" w:styleId="MediumList11">
    <w:name w:val="Medium List 11"/>
    <w:basedOn w:val="TableNormal"/>
    <w:hidden/>
    <w:uiPriority w:val="65"/>
    <w:rsid w:val="00BB789B"/>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DC69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1">
    <w:name w:val="Medium List 1 - Accent 11"/>
    <w:basedOn w:val="TableNormal"/>
    <w:hidden/>
    <w:uiPriority w:val="65"/>
    <w:rsid w:val="00BB789B"/>
    <w:pPr>
      <w:spacing w:after="0" w:line="240" w:lineRule="auto"/>
    </w:pPr>
    <w:rPr>
      <w:color w:val="000000" w:themeColor="text1"/>
    </w:rPr>
    <w:tblPr>
      <w:tblStyleRowBandSize w:val="1"/>
      <w:tblStyleColBandSize w:val="1"/>
      <w:tblBorders>
        <w:top w:val="single" w:sz="8" w:space="0" w:color="DC6900" w:themeColor="accent1"/>
        <w:bottom w:val="single" w:sz="8" w:space="0" w:color="DC6900" w:themeColor="accent1"/>
      </w:tblBorders>
    </w:tblPr>
    <w:tblStylePr w:type="firstRow">
      <w:rPr>
        <w:rFonts w:asciiTheme="majorHAnsi" w:eastAsiaTheme="majorEastAsia" w:hAnsiTheme="majorHAnsi" w:cstheme="majorBidi"/>
      </w:rPr>
      <w:tblPr/>
      <w:tcPr>
        <w:tcBorders>
          <w:top w:val="nil"/>
          <w:bottom w:val="single" w:sz="8" w:space="0" w:color="DC6900" w:themeColor="accent1"/>
        </w:tcBorders>
      </w:tcPr>
    </w:tblStylePr>
    <w:tblStylePr w:type="lastRow">
      <w:rPr>
        <w:b/>
        <w:bCs/>
        <w:color w:val="DC6900" w:themeColor="text2"/>
      </w:rPr>
      <w:tblPr/>
      <w:tcPr>
        <w:tcBorders>
          <w:top w:val="single" w:sz="8" w:space="0" w:color="DC6900" w:themeColor="accent1"/>
          <w:bottom w:val="single" w:sz="8" w:space="0" w:color="DC6900" w:themeColor="accent1"/>
        </w:tcBorders>
      </w:tcPr>
    </w:tblStylePr>
    <w:tblStylePr w:type="firstCol">
      <w:rPr>
        <w:b/>
        <w:bCs/>
      </w:rPr>
    </w:tblStylePr>
    <w:tblStylePr w:type="lastCol">
      <w:rPr>
        <w:b/>
        <w:bCs/>
      </w:rPr>
      <w:tblPr/>
      <w:tcPr>
        <w:tcBorders>
          <w:top w:val="single" w:sz="8" w:space="0" w:color="DC6900" w:themeColor="accent1"/>
          <w:bottom w:val="single" w:sz="8" w:space="0" w:color="DC6900" w:themeColor="accent1"/>
        </w:tcBorders>
      </w:tcPr>
    </w:tblStylePr>
    <w:tblStylePr w:type="band1Vert">
      <w:tblPr/>
      <w:tcPr>
        <w:shd w:val="clear" w:color="auto" w:fill="FFD9B7" w:themeFill="accent1" w:themeFillTint="3F"/>
      </w:tcPr>
    </w:tblStylePr>
    <w:tblStylePr w:type="band1Horz">
      <w:tblPr/>
      <w:tcPr>
        <w:shd w:val="clear" w:color="auto" w:fill="FFD9B7" w:themeFill="accent1" w:themeFillTint="3F"/>
      </w:tcPr>
    </w:tblStylePr>
  </w:style>
  <w:style w:type="table" w:styleId="MediumList1-Accent2">
    <w:name w:val="Medium List 1 Accent 2"/>
    <w:basedOn w:val="TableNormal"/>
    <w:hidden/>
    <w:uiPriority w:val="65"/>
    <w:rsid w:val="00BB789B"/>
    <w:pPr>
      <w:spacing w:after="0" w:line="240" w:lineRule="auto"/>
    </w:pPr>
    <w:rPr>
      <w:color w:val="000000" w:themeColor="text1"/>
    </w:rPr>
    <w:tblPr>
      <w:tblStyleRowBandSize w:val="1"/>
      <w:tblStyleColBandSize w:val="1"/>
      <w:tblBorders>
        <w:top w:val="single" w:sz="8" w:space="0" w:color="FFB600" w:themeColor="accent2"/>
        <w:bottom w:val="single" w:sz="8" w:space="0" w:color="FFB600" w:themeColor="accent2"/>
      </w:tblBorders>
    </w:tblPr>
    <w:tblStylePr w:type="firstRow">
      <w:rPr>
        <w:rFonts w:asciiTheme="majorHAnsi" w:eastAsiaTheme="majorEastAsia" w:hAnsiTheme="majorHAnsi" w:cstheme="majorBidi"/>
      </w:rPr>
      <w:tblPr/>
      <w:tcPr>
        <w:tcBorders>
          <w:top w:val="nil"/>
          <w:bottom w:val="single" w:sz="8" w:space="0" w:color="FFB600" w:themeColor="accent2"/>
        </w:tcBorders>
      </w:tcPr>
    </w:tblStylePr>
    <w:tblStylePr w:type="lastRow">
      <w:rPr>
        <w:b/>
        <w:bCs/>
        <w:color w:val="DC6900" w:themeColor="text2"/>
      </w:rPr>
      <w:tblPr/>
      <w:tcPr>
        <w:tcBorders>
          <w:top w:val="single" w:sz="8" w:space="0" w:color="FFB600" w:themeColor="accent2"/>
          <w:bottom w:val="single" w:sz="8" w:space="0" w:color="FFB600" w:themeColor="accent2"/>
        </w:tcBorders>
      </w:tcPr>
    </w:tblStylePr>
    <w:tblStylePr w:type="firstCol">
      <w:rPr>
        <w:b/>
        <w:bCs/>
      </w:rPr>
    </w:tblStylePr>
    <w:tblStylePr w:type="lastCol">
      <w:rPr>
        <w:b/>
        <w:bCs/>
      </w:rPr>
      <w:tblPr/>
      <w:tcPr>
        <w:tcBorders>
          <w:top w:val="single" w:sz="8" w:space="0" w:color="FFB600" w:themeColor="accent2"/>
          <w:bottom w:val="single" w:sz="8" w:space="0" w:color="FFB600" w:themeColor="accent2"/>
        </w:tcBorders>
      </w:tcPr>
    </w:tblStylePr>
    <w:tblStylePr w:type="band1Vert">
      <w:tblPr/>
      <w:tcPr>
        <w:shd w:val="clear" w:color="auto" w:fill="FFECC0" w:themeFill="accent2" w:themeFillTint="3F"/>
      </w:tcPr>
    </w:tblStylePr>
    <w:tblStylePr w:type="band1Horz">
      <w:tblPr/>
      <w:tcPr>
        <w:shd w:val="clear" w:color="auto" w:fill="FFECC0" w:themeFill="accent2" w:themeFillTint="3F"/>
      </w:tcPr>
    </w:tblStylePr>
  </w:style>
  <w:style w:type="table" w:styleId="MediumList1-Accent3">
    <w:name w:val="Medium List 1 Accent 3"/>
    <w:basedOn w:val="TableNormal"/>
    <w:hidden/>
    <w:uiPriority w:val="65"/>
    <w:rsid w:val="00BB789B"/>
    <w:pPr>
      <w:spacing w:after="0" w:line="240" w:lineRule="auto"/>
    </w:pPr>
    <w:rPr>
      <w:color w:val="000000" w:themeColor="text1"/>
    </w:rPr>
    <w:tblPr>
      <w:tblStyleRowBandSize w:val="1"/>
      <w:tblStyleColBandSize w:val="1"/>
      <w:tblBorders>
        <w:top w:val="single" w:sz="8" w:space="0" w:color="602320" w:themeColor="accent3"/>
        <w:bottom w:val="single" w:sz="8" w:space="0" w:color="602320" w:themeColor="accent3"/>
      </w:tblBorders>
    </w:tblPr>
    <w:tblStylePr w:type="firstRow">
      <w:rPr>
        <w:rFonts w:asciiTheme="majorHAnsi" w:eastAsiaTheme="majorEastAsia" w:hAnsiTheme="majorHAnsi" w:cstheme="majorBidi"/>
      </w:rPr>
      <w:tblPr/>
      <w:tcPr>
        <w:tcBorders>
          <w:top w:val="nil"/>
          <w:bottom w:val="single" w:sz="8" w:space="0" w:color="602320" w:themeColor="accent3"/>
        </w:tcBorders>
      </w:tcPr>
    </w:tblStylePr>
    <w:tblStylePr w:type="lastRow">
      <w:rPr>
        <w:b/>
        <w:bCs/>
        <w:color w:val="DC6900" w:themeColor="text2"/>
      </w:rPr>
      <w:tblPr/>
      <w:tcPr>
        <w:tcBorders>
          <w:top w:val="single" w:sz="8" w:space="0" w:color="602320" w:themeColor="accent3"/>
          <w:bottom w:val="single" w:sz="8" w:space="0" w:color="602320" w:themeColor="accent3"/>
        </w:tcBorders>
      </w:tcPr>
    </w:tblStylePr>
    <w:tblStylePr w:type="firstCol">
      <w:rPr>
        <w:b/>
        <w:bCs/>
      </w:rPr>
    </w:tblStylePr>
    <w:tblStylePr w:type="lastCol">
      <w:rPr>
        <w:b/>
        <w:bCs/>
      </w:rPr>
      <w:tblPr/>
      <w:tcPr>
        <w:tcBorders>
          <w:top w:val="single" w:sz="8" w:space="0" w:color="602320" w:themeColor="accent3"/>
          <w:bottom w:val="single" w:sz="8" w:space="0" w:color="602320" w:themeColor="accent3"/>
        </w:tcBorders>
      </w:tcPr>
    </w:tblStylePr>
    <w:tblStylePr w:type="band1Vert">
      <w:tblPr/>
      <w:tcPr>
        <w:shd w:val="clear" w:color="auto" w:fill="E7BAB8" w:themeFill="accent3" w:themeFillTint="3F"/>
      </w:tcPr>
    </w:tblStylePr>
    <w:tblStylePr w:type="band1Horz">
      <w:tblPr/>
      <w:tcPr>
        <w:shd w:val="clear" w:color="auto" w:fill="E7BAB8" w:themeFill="accent3" w:themeFillTint="3F"/>
      </w:tcPr>
    </w:tblStylePr>
  </w:style>
  <w:style w:type="table" w:styleId="MediumList1-Accent4">
    <w:name w:val="Medium List 1 Accent 4"/>
    <w:basedOn w:val="TableNormal"/>
    <w:hidden/>
    <w:uiPriority w:val="65"/>
    <w:rsid w:val="00BB789B"/>
    <w:pPr>
      <w:spacing w:after="0" w:line="240" w:lineRule="auto"/>
    </w:pPr>
    <w:rPr>
      <w:color w:val="000000" w:themeColor="text1"/>
    </w:rPr>
    <w:tblPr>
      <w:tblStyleRowBandSize w:val="1"/>
      <w:tblStyleColBandSize w:val="1"/>
      <w:tblBorders>
        <w:top w:val="single" w:sz="8" w:space="0" w:color="E27588" w:themeColor="accent4"/>
        <w:bottom w:val="single" w:sz="8" w:space="0" w:color="E27588" w:themeColor="accent4"/>
      </w:tblBorders>
    </w:tblPr>
    <w:tblStylePr w:type="firstRow">
      <w:rPr>
        <w:rFonts w:asciiTheme="majorHAnsi" w:eastAsiaTheme="majorEastAsia" w:hAnsiTheme="majorHAnsi" w:cstheme="majorBidi"/>
      </w:rPr>
      <w:tblPr/>
      <w:tcPr>
        <w:tcBorders>
          <w:top w:val="nil"/>
          <w:bottom w:val="single" w:sz="8" w:space="0" w:color="E27588" w:themeColor="accent4"/>
        </w:tcBorders>
      </w:tcPr>
    </w:tblStylePr>
    <w:tblStylePr w:type="lastRow">
      <w:rPr>
        <w:b/>
        <w:bCs/>
        <w:color w:val="DC6900" w:themeColor="text2"/>
      </w:rPr>
      <w:tblPr/>
      <w:tcPr>
        <w:tcBorders>
          <w:top w:val="single" w:sz="8" w:space="0" w:color="E27588" w:themeColor="accent4"/>
          <w:bottom w:val="single" w:sz="8" w:space="0" w:color="E27588" w:themeColor="accent4"/>
        </w:tcBorders>
      </w:tcPr>
    </w:tblStylePr>
    <w:tblStylePr w:type="firstCol">
      <w:rPr>
        <w:b/>
        <w:bCs/>
      </w:rPr>
    </w:tblStylePr>
    <w:tblStylePr w:type="lastCol">
      <w:rPr>
        <w:b/>
        <w:bCs/>
      </w:rPr>
      <w:tblPr/>
      <w:tcPr>
        <w:tcBorders>
          <w:top w:val="single" w:sz="8" w:space="0" w:color="E27588" w:themeColor="accent4"/>
          <w:bottom w:val="single" w:sz="8" w:space="0" w:color="E27588" w:themeColor="accent4"/>
        </w:tcBorders>
      </w:tcPr>
    </w:tblStylePr>
    <w:tblStylePr w:type="band1Vert">
      <w:tblPr/>
      <w:tcPr>
        <w:shd w:val="clear" w:color="auto" w:fill="F7DCE1" w:themeFill="accent4" w:themeFillTint="3F"/>
      </w:tcPr>
    </w:tblStylePr>
    <w:tblStylePr w:type="band1Horz">
      <w:tblPr/>
      <w:tcPr>
        <w:shd w:val="clear" w:color="auto" w:fill="F7DCE1" w:themeFill="accent4" w:themeFillTint="3F"/>
      </w:tcPr>
    </w:tblStylePr>
  </w:style>
  <w:style w:type="table" w:styleId="MediumList1-Accent5">
    <w:name w:val="Medium List 1 Accent 5"/>
    <w:basedOn w:val="TableNormal"/>
    <w:hidden/>
    <w:uiPriority w:val="65"/>
    <w:rsid w:val="00BB789B"/>
    <w:pPr>
      <w:spacing w:after="0" w:line="240" w:lineRule="auto"/>
    </w:pPr>
    <w:rPr>
      <w:color w:val="000000" w:themeColor="text1"/>
    </w:rPr>
    <w:tblPr>
      <w:tblStyleRowBandSize w:val="1"/>
      <w:tblStyleColBandSize w:val="1"/>
      <w:tblBorders>
        <w:top w:val="single" w:sz="8" w:space="0" w:color="A32020" w:themeColor="accent5"/>
        <w:bottom w:val="single" w:sz="8" w:space="0" w:color="A32020" w:themeColor="accent5"/>
      </w:tblBorders>
    </w:tblPr>
    <w:tblStylePr w:type="firstRow">
      <w:rPr>
        <w:rFonts w:asciiTheme="majorHAnsi" w:eastAsiaTheme="majorEastAsia" w:hAnsiTheme="majorHAnsi" w:cstheme="majorBidi"/>
      </w:rPr>
      <w:tblPr/>
      <w:tcPr>
        <w:tcBorders>
          <w:top w:val="nil"/>
          <w:bottom w:val="single" w:sz="8" w:space="0" w:color="A32020" w:themeColor="accent5"/>
        </w:tcBorders>
      </w:tcPr>
    </w:tblStylePr>
    <w:tblStylePr w:type="lastRow">
      <w:rPr>
        <w:b/>
        <w:bCs/>
        <w:color w:val="DC6900" w:themeColor="text2"/>
      </w:rPr>
      <w:tblPr/>
      <w:tcPr>
        <w:tcBorders>
          <w:top w:val="single" w:sz="8" w:space="0" w:color="A32020" w:themeColor="accent5"/>
          <w:bottom w:val="single" w:sz="8" w:space="0" w:color="A32020" w:themeColor="accent5"/>
        </w:tcBorders>
      </w:tcPr>
    </w:tblStylePr>
    <w:tblStylePr w:type="firstCol">
      <w:rPr>
        <w:b/>
        <w:bCs/>
      </w:rPr>
    </w:tblStylePr>
    <w:tblStylePr w:type="lastCol">
      <w:rPr>
        <w:b/>
        <w:bCs/>
      </w:rPr>
      <w:tblPr/>
      <w:tcPr>
        <w:tcBorders>
          <w:top w:val="single" w:sz="8" w:space="0" w:color="A32020" w:themeColor="accent5"/>
          <w:bottom w:val="single" w:sz="8" w:space="0" w:color="A32020" w:themeColor="accent5"/>
        </w:tcBorders>
      </w:tcPr>
    </w:tblStylePr>
    <w:tblStylePr w:type="band1Vert">
      <w:tblPr/>
      <w:tcPr>
        <w:shd w:val="clear" w:color="auto" w:fill="F2BDBD" w:themeFill="accent5" w:themeFillTint="3F"/>
      </w:tcPr>
    </w:tblStylePr>
    <w:tblStylePr w:type="band1Horz">
      <w:tblPr/>
      <w:tcPr>
        <w:shd w:val="clear" w:color="auto" w:fill="F2BDBD" w:themeFill="accent5" w:themeFillTint="3F"/>
      </w:tcPr>
    </w:tblStylePr>
  </w:style>
  <w:style w:type="table" w:styleId="MediumList1-Accent6">
    <w:name w:val="Medium List 1 Accent 6"/>
    <w:basedOn w:val="TableNormal"/>
    <w:hidden/>
    <w:uiPriority w:val="65"/>
    <w:rsid w:val="00BB789B"/>
    <w:pPr>
      <w:spacing w:after="0" w:line="240" w:lineRule="auto"/>
    </w:pPr>
    <w:rPr>
      <w:color w:val="000000" w:themeColor="text1"/>
    </w:rPr>
    <w:tblPr>
      <w:tblStyleRowBandSize w:val="1"/>
      <w:tblStyleColBandSize w:val="1"/>
      <w:tblBorders>
        <w:top w:val="single" w:sz="8" w:space="0" w:color="E0301E" w:themeColor="accent6"/>
        <w:bottom w:val="single" w:sz="8" w:space="0" w:color="E0301E" w:themeColor="accent6"/>
      </w:tblBorders>
    </w:tblPr>
    <w:tblStylePr w:type="firstRow">
      <w:rPr>
        <w:rFonts w:asciiTheme="majorHAnsi" w:eastAsiaTheme="majorEastAsia" w:hAnsiTheme="majorHAnsi" w:cstheme="majorBidi"/>
      </w:rPr>
      <w:tblPr/>
      <w:tcPr>
        <w:tcBorders>
          <w:top w:val="nil"/>
          <w:bottom w:val="single" w:sz="8" w:space="0" w:color="E0301E" w:themeColor="accent6"/>
        </w:tcBorders>
      </w:tcPr>
    </w:tblStylePr>
    <w:tblStylePr w:type="lastRow">
      <w:rPr>
        <w:b/>
        <w:bCs/>
        <w:color w:val="DC6900" w:themeColor="text2"/>
      </w:rPr>
      <w:tblPr/>
      <w:tcPr>
        <w:tcBorders>
          <w:top w:val="single" w:sz="8" w:space="0" w:color="E0301E" w:themeColor="accent6"/>
          <w:bottom w:val="single" w:sz="8" w:space="0" w:color="E0301E" w:themeColor="accent6"/>
        </w:tcBorders>
      </w:tcPr>
    </w:tblStylePr>
    <w:tblStylePr w:type="firstCol">
      <w:rPr>
        <w:b/>
        <w:bCs/>
      </w:rPr>
    </w:tblStylePr>
    <w:tblStylePr w:type="lastCol">
      <w:rPr>
        <w:b/>
        <w:bCs/>
      </w:rPr>
      <w:tblPr/>
      <w:tcPr>
        <w:tcBorders>
          <w:top w:val="single" w:sz="8" w:space="0" w:color="E0301E" w:themeColor="accent6"/>
          <w:bottom w:val="single" w:sz="8" w:space="0" w:color="E0301E" w:themeColor="accent6"/>
        </w:tcBorders>
      </w:tcPr>
    </w:tblStylePr>
    <w:tblStylePr w:type="band1Vert">
      <w:tblPr/>
      <w:tcPr>
        <w:shd w:val="clear" w:color="auto" w:fill="F7CBC7" w:themeFill="accent6" w:themeFillTint="3F"/>
      </w:tcPr>
    </w:tblStylePr>
    <w:tblStylePr w:type="band1Horz">
      <w:tblPr/>
      <w:tcPr>
        <w:shd w:val="clear" w:color="auto" w:fill="F7CBC7" w:themeFill="accent6" w:themeFillTint="3F"/>
      </w:tcPr>
    </w:tblStylePr>
  </w:style>
  <w:style w:type="table" w:customStyle="1" w:styleId="MediumList21">
    <w:name w:val="Medium List 21"/>
    <w:basedOn w:val="TableNormal"/>
    <w:hidden/>
    <w:uiPriority w:val="66"/>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hidden/>
    <w:uiPriority w:val="66"/>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C6900" w:themeColor="accent1"/>
        <w:left w:val="single" w:sz="8" w:space="0" w:color="DC6900" w:themeColor="accent1"/>
        <w:bottom w:val="single" w:sz="8" w:space="0" w:color="DC6900" w:themeColor="accent1"/>
        <w:right w:val="single" w:sz="8" w:space="0" w:color="DC6900" w:themeColor="accent1"/>
      </w:tblBorders>
    </w:tblPr>
    <w:tblStylePr w:type="firstRow">
      <w:rPr>
        <w:sz w:val="24"/>
        <w:szCs w:val="24"/>
      </w:rPr>
      <w:tblPr/>
      <w:tcPr>
        <w:tcBorders>
          <w:top w:val="nil"/>
          <w:left w:val="nil"/>
          <w:bottom w:val="single" w:sz="24" w:space="0" w:color="DC6900" w:themeColor="accent1"/>
          <w:right w:val="nil"/>
          <w:insideH w:val="nil"/>
          <w:insideV w:val="nil"/>
        </w:tcBorders>
        <w:shd w:val="clear" w:color="auto" w:fill="FFFFFF" w:themeFill="background1"/>
      </w:tcPr>
    </w:tblStylePr>
    <w:tblStylePr w:type="lastRow">
      <w:tblPr/>
      <w:tcPr>
        <w:tcBorders>
          <w:top w:val="single" w:sz="8" w:space="0" w:color="DC6900"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C6900" w:themeColor="accent1"/>
          <w:insideH w:val="nil"/>
          <w:insideV w:val="nil"/>
        </w:tcBorders>
        <w:shd w:val="clear" w:color="auto" w:fill="FFFFFF" w:themeFill="background1"/>
      </w:tcPr>
    </w:tblStylePr>
    <w:tblStylePr w:type="lastCol">
      <w:tblPr/>
      <w:tcPr>
        <w:tcBorders>
          <w:top w:val="nil"/>
          <w:left w:val="single" w:sz="8" w:space="0" w:color="DC690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9B7" w:themeFill="accent1" w:themeFillTint="3F"/>
      </w:tcPr>
    </w:tblStylePr>
    <w:tblStylePr w:type="band1Horz">
      <w:tblPr/>
      <w:tcPr>
        <w:tcBorders>
          <w:top w:val="nil"/>
          <w:bottom w:val="nil"/>
          <w:insideH w:val="nil"/>
          <w:insideV w:val="nil"/>
        </w:tcBorders>
        <w:shd w:val="clear" w:color="auto" w:fill="FFD9B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hidden/>
    <w:uiPriority w:val="66"/>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B600" w:themeColor="accent2"/>
        <w:left w:val="single" w:sz="8" w:space="0" w:color="FFB600" w:themeColor="accent2"/>
        <w:bottom w:val="single" w:sz="8" w:space="0" w:color="FFB600" w:themeColor="accent2"/>
        <w:right w:val="single" w:sz="8" w:space="0" w:color="FFB600" w:themeColor="accent2"/>
      </w:tblBorders>
    </w:tblPr>
    <w:tblStylePr w:type="firstRow">
      <w:rPr>
        <w:sz w:val="24"/>
        <w:szCs w:val="24"/>
      </w:rPr>
      <w:tblPr/>
      <w:tcPr>
        <w:tcBorders>
          <w:top w:val="nil"/>
          <w:left w:val="nil"/>
          <w:bottom w:val="single" w:sz="24" w:space="0" w:color="FFB600" w:themeColor="accent2"/>
          <w:right w:val="nil"/>
          <w:insideH w:val="nil"/>
          <w:insideV w:val="nil"/>
        </w:tcBorders>
        <w:shd w:val="clear" w:color="auto" w:fill="FFFFFF" w:themeFill="background1"/>
      </w:tcPr>
    </w:tblStylePr>
    <w:tblStylePr w:type="lastRow">
      <w:tblPr/>
      <w:tcPr>
        <w:tcBorders>
          <w:top w:val="single" w:sz="8" w:space="0" w:color="FFB600"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B600" w:themeColor="accent2"/>
          <w:insideH w:val="nil"/>
          <w:insideV w:val="nil"/>
        </w:tcBorders>
        <w:shd w:val="clear" w:color="auto" w:fill="FFFFFF" w:themeFill="background1"/>
      </w:tcPr>
    </w:tblStylePr>
    <w:tblStylePr w:type="lastCol">
      <w:tblPr/>
      <w:tcPr>
        <w:tcBorders>
          <w:top w:val="nil"/>
          <w:left w:val="single" w:sz="8" w:space="0" w:color="FFB6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CC0" w:themeFill="accent2" w:themeFillTint="3F"/>
      </w:tcPr>
    </w:tblStylePr>
    <w:tblStylePr w:type="band1Horz">
      <w:tblPr/>
      <w:tcPr>
        <w:tcBorders>
          <w:top w:val="nil"/>
          <w:bottom w:val="nil"/>
          <w:insideH w:val="nil"/>
          <w:insideV w:val="nil"/>
        </w:tcBorders>
        <w:shd w:val="clear" w:color="auto" w:fill="FFEC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hidden/>
    <w:uiPriority w:val="66"/>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602320" w:themeColor="accent3"/>
        <w:left w:val="single" w:sz="8" w:space="0" w:color="602320" w:themeColor="accent3"/>
        <w:bottom w:val="single" w:sz="8" w:space="0" w:color="602320" w:themeColor="accent3"/>
        <w:right w:val="single" w:sz="8" w:space="0" w:color="602320" w:themeColor="accent3"/>
      </w:tblBorders>
    </w:tblPr>
    <w:tblStylePr w:type="firstRow">
      <w:rPr>
        <w:sz w:val="24"/>
        <w:szCs w:val="24"/>
      </w:rPr>
      <w:tblPr/>
      <w:tcPr>
        <w:tcBorders>
          <w:top w:val="nil"/>
          <w:left w:val="nil"/>
          <w:bottom w:val="single" w:sz="24" w:space="0" w:color="602320" w:themeColor="accent3"/>
          <w:right w:val="nil"/>
          <w:insideH w:val="nil"/>
          <w:insideV w:val="nil"/>
        </w:tcBorders>
        <w:shd w:val="clear" w:color="auto" w:fill="FFFFFF" w:themeFill="background1"/>
      </w:tcPr>
    </w:tblStylePr>
    <w:tblStylePr w:type="lastRow">
      <w:tblPr/>
      <w:tcPr>
        <w:tcBorders>
          <w:top w:val="single" w:sz="8" w:space="0" w:color="602320"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02320" w:themeColor="accent3"/>
          <w:insideH w:val="nil"/>
          <w:insideV w:val="nil"/>
        </w:tcBorders>
        <w:shd w:val="clear" w:color="auto" w:fill="FFFFFF" w:themeFill="background1"/>
      </w:tcPr>
    </w:tblStylePr>
    <w:tblStylePr w:type="lastCol">
      <w:tblPr/>
      <w:tcPr>
        <w:tcBorders>
          <w:top w:val="nil"/>
          <w:left w:val="single" w:sz="8" w:space="0" w:color="602320"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BAB8" w:themeFill="accent3" w:themeFillTint="3F"/>
      </w:tcPr>
    </w:tblStylePr>
    <w:tblStylePr w:type="band1Horz">
      <w:tblPr/>
      <w:tcPr>
        <w:tcBorders>
          <w:top w:val="nil"/>
          <w:bottom w:val="nil"/>
          <w:insideH w:val="nil"/>
          <w:insideV w:val="nil"/>
        </w:tcBorders>
        <w:shd w:val="clear" w:color="auto" w:fill="E7BAB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hidden/>
    <w:uiPriority w:val="66"/>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27588" w:themeColor="accent4"/>
        <w:left w:val="single" w:sz="8" w:space="0" w:color="E27588" w:themeColor="accent4"/>
        <w:bottom w:val="single" w:sz="8" w:space="0" w:color="E27588" w:themeColor="accent4"/>
        <w:right w:val="single" w:sz="8" w:space="0" w:color="E27588" w:themeColor="accent4"/>
      </w:tblBorders>
    </w:tblPr>
    <w:tblStylePr w:type="firstRow">
      <w:rPr>
        <w:sz w:val="24"/>
        <w:szCs w:val="24"/>
      </w:rPr>
      <w:tblPr/>
      <w:tcPr>
        <w:tcBorders>
          <w:top w:val="nil"/>
          <w:left w:val="nil"/>
          <w:bottom w:val="single" w:sz="24" w:space="0" w:color="E27588" w:themeColor="accent4"/>
          <w:right w:val="nil"/>
          <w:insideH w:val="nil"/>
          <w:insideV w:val="nil"/>
        </w:tcBorders>
        <w:shd w:val="clear" w:color="auto" w:fill="FFFFFF" w:themeFill="background1"/>
      </w:tcPr>
    </w:tblStylePr>
    <w:tblStylePr w:type="lastRow">
      <w:tblPr/>
      <w:tcPr>
        <w:tcBorders>
          <w:top w:val="single" w:sz="8" w:space="0" w:color="E27588"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27588" w:themeColor="accent4"/>
          <w:insideH w:val="nil"/>
          <w:insideV w:val="nil"/>
        </w:tcBorders>
        <w:shd w:val="clear" w:color="auto" w:fill="FFFFFF" w:themeFill="background1"/>
      </w:tcPr>
    </w:tblStylePr>
    <w:tblStylePr w:type="lastCol">
      <w:tblPr/>
      <w:tcPr>
        <w:tcBorders>
          <w:top w:val="nil"/>
          <w:left w:val="single" w:sz="8" w:space="0" w:color="E27588"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DCE1" w:themeFill="accent4" w:themeFillTint="3F"/>
      </w:tcPr>
    </w:tblStylePr>
    <w:tblStylePr w:type="band1Horz">
      <w:tblPr/>
      <w:tcPr>
        <w:tcBorders>
          <w:top w:val="nil"/>
          <w:bottom w:val="nil"/>
          <w:insideH w:val="nil"/>
          <w:insideV w:val="nil"/>
        </w:tcBorders>
        <w:shd w:val="clear" w:color="auto" w:fill="F7DCE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hidden/>
    <w:uiPriority w:val="66"/>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32020" w:themeColor="accent5"/>
        <w:left w:val="single" w:sz="8" w:space="0" w:color="A32020" w:themeColor="accent5"/>
        <w:bottom w:val="single" w:sz="8" w:space="0" w:color="A32020" w:themeColor="accent5"/>
        <w:right w:val="single" w:sz="8" w:space="0" w:color="A32020" w:themeColor="accent5"/>
      </w:tblBorders>
    </w:tblPr>
    <w:tblStylePr w:type="firstRow">
      <w:rPr>
        <w:sz w:val="24"/>
        <w:szCs w:val="24"/>
      </w:rPr>
      <w:tblPr/>
      <w:tcPr>
        <w:tcBorders>
          <w:top w:val="nil"/>
          <w:left w:val="nil"/>
          <w:bottom w:val="single" w:sz="24" w:space="0" w:color="A32020" w:themeColor="accent5"/>
          <w:right w:val="nil"/>
          <w:insideH w:val="nil"/>
          <w:insideV w:val="nil"/>
        </w:tcBorders>
        <w:shd w:val="clear" w:color="auto" w:fill="FFFFFF" w:themeFill="background1"/>
      </w:tcPr>
    </w:tblStylePr>
    <w:tblStylePr w:type="lastRow">
      <w:tblPr/>
      <w:tcPr>
        <w:tcBorders>
          <w:top w:val="single" w:sz="8" w:space="0" w:color="A3202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32020" w:themeColor="accent5"/>
          <w:insideH w:val="nil"/>
          <w:insideV w:val="nil"/>
        </w:tcBorders>
        <w:shd w:val="clear" w:color="auto" w:fill="FFFFFF" w:themeFill="background1"/>
      </w:tcPr>
    </w:tblStylePr>
    <w:tblStylePr w:type="lastCol">
      <w:tblPr/>
      <w:tcPr>
        <w:tcBorders>
          <w:top w:val="nil"/>
          <w:left w:val="single" w:sz="8" w:space="0" w:color="A3202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BDBD" w:themeFill="accent5" w:themeFillTint="3F"/>
      </w:tcPr>
    </w:tblStylePr>
    <w:tblStylePr w:type="band1Horz">
      <w:tblPr/>
      <w:tcPr>
        <w:tcBorders>
          <w:top w:val="nil"/>
          <w:bottom w:val="nil"/>
          <w:insideH w:val="nil"/>
          <w:insideV w:val="nil"/>
        </w:tcBorders>
        <w:shd w:val="clear" w:color="auto" w:fill="F2BDB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hidden/>
    <w:uiPriority w:val="66"/>
    <w:rsid w:val="00BB789B"/>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301E" w:themeColor="accent6"/>
        <w:left w:val="single" w:sz="8" w:space="0" w:color="E0301E" w:themeColor="accent6"/>
        <w:bottom w:val="single" w:sz="8" w:space="0" w:color="E0301E" w:themeColor="accent6"/>
        <w:right w:val="single" w:sz="8" w:space="0" w:color="E0301E" w:themeColor="accent6"/>
      </w:tblBorders>
    </w:tblPr>
    <w:tblStylePr w:type="firstRow">
      <w:rPr>
        <w:sz w:val="24"/>
        <w:szCs w:val="24"/>
      </w:rPr>
      <w:tblPr/>
      <w:tcPr>
        <w:tcBorders>
          <w:top w:val="nil"/>
          <w:left w:val="nil"/>
          <w:bottom w:val="single" w:sz="24" w:space="0" w:color="E0301E" w:themeColor="accent6"/>
          <w:right w:val="nil"/>
          <w:insideH w:val="nil"/>
          <w:insideV w:val="nil"/>
        </w:tcBorders>
        <w:shd w:val="clear" w:color="auto" w:fill="FFFFFF" w:themeFill="background1"/>
      </w:tcPr>
    </w:tblStylePr>
    <w:tblStylePr w:type="lastRow">
      <w:tblPr/>
      <w:tcPr>
        <w:tcBorders>
          <w:top w:val="single" w:sz="8" w:space="0" w:color="E0301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301E" w:themeColor="accent6"/>
          <w:insideH w:val="nil"/>
          <w:insideV w:val="nil"/>
        </w:tcBorders>
        <w:shd w:val="clear" w:color="auto" w:fill="FFFFFF" w:themeFill="background1"/>
      </w:tcPr>
    </w:tblStylePr>
    <w:tblStylePr w:type="lastCol">
      <w:tblPr/>
      <w:tcPr>
        <w:tcBorders>
          <w:top w:val="nil"/>
          <w:left w:val="single" w:sz="8" w:space="0" w:color="E0301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BC7" w:themeFill="accent6" w:themeFillTint="3F"/>
      </w:tcPr>
    </w:tblStylePr>
    <w:tblStylePr w:type="band1Horz">
      <w:tblPr/>
      <w:tcPr>
        <w:tcBorders>
          <w:top w:val="nil"/>
          <w:bottom w:val="nil"/>
          <w:insideH w:val="nil"/>
          <w:insideV w:val="nil"/>
        </w:tcBorders>
        <w:shd w:val="clear" w:color="auto" w:fill="F7CBC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Shading12">
    <w:name w:val="Medium Shading 12"/>
    <w:basedOn w:val="TableNormal"/>
    <w:hidden/>
    <w:uiPriority w:val="63"/>
    <w:rsid w:val="00BB789B"/>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2">
    <w:name w:val="Medium Shading 1 - Accent 12"/>
    <w:basedOn w:val="TableNormal"/>
    <w:hidden/>
    <w:uiPriority w:val="63"/>
    <w:rsid w:val="00BB789B"/>
    <w:pPr>
      <w:spacing w:after="0" w:line="240" w:lineRule="auto"/>
    </w:pPr>
    <w:tblPr>
      <w:tblStyleRowBandSize w:val="1"/>
      <w:tblStyleColBandSize w:val="1"/>
      <w:tblBorders>
        <w:top w:val="single" w:sz="8" w:space="0" w:color="FF8C25" w:themeColor="accent1" w:themeTint="BF"/>
        <w:left w:val="single" w:sz="8" w:space="0" w:color="FF8C25" w:themeColor="accent1" w:themeTint="BF"/>
        <w:bottom w:val="single" w:sz="8" w:space="0" w:color="FF8C25" w:themeColor="accent1" w:themeTint="BF"/>
        <w:right w:val="single" w:sz="8" w:space="0" w:color="FF8C25" w:themeColor="accent1" w:themeTint="BF"/>
        <w:insideH w:val="single" w:sz="8" w:space="0" w:color="FF8C25" w:themeColor="accent1" w:themeTint="BF"/>
      </w:tblBorders>
    </w:tblPr>
    <w:tblStylePr w:type="firstRow">
      <w:pPr>
        <w:spacing w:before="0" w:after="0" w:line="240" w:lineRule="auto"/>
      </w:pPr>
      <w:rPr>
        <w:b/>
        <w:bCs/>
        <w:color w:val="FFFFFF" w:themeColor="background1"/>
      </w:rPr>
      <w:tblPr/>
      <w:tcPr>
        <w:tcBorders>
          <w:top w:val="single" w:sz="8" w:space="0" w:color="FF8C25" w:themeColor="accent1" w:themeTint="BF"/>
          <w:left w:val="single" w:sz="8" w:space="0" w:color="FF8C25" w:themeColor="accent1" w:themeTint="BF"/>
          <w:bottom w:val="single" w:sz="8" w:space="0" w:color="FF8C25" w:themeColor="accent1" w:themeTint="BF"/>
          <w:right w:val="single" w:sz="8" w:space="0" w:color="FF8C25" w:themeColor="accent1" w:themeTint="BF"/>
          <w:insideH w:val="nil"/>
          <w:insideV w:val="nil"/>
        </w:tcBorders>
        <w:shd w:val="clear" w:color="auto" w:fill="DC6900" w:themeFill="accent1"/>
      </w:tcPr>
    </w:tblStylePr>
    <w:tblStylePr w:type="lastRow">
      <w:pPr>
        <w:spacing w:before="0" w:after="0" w:line="240" w:lineRule="auto"/>
      </w:pPr>
      <w:rPr>
        <w:b/>
        <w:bCs/>
      </w:rPr>
      <w:tblPr/>
      <w:tcPr>
        <w:tcBorders>
          <w:top w:val="double" w:sz="6" w:space="0" w:color="FF8C25" w:themeColor="accent1" w:themeTint="BF"/>
          <w:left w:val="single" w:sz="8" w:space="0" w:color="FF8C25" w:themeColor="accent1" w:themeTint="BF"/>
          <w:bottom w:val="single" w:sz="8" w:space="0" w:color="FF8C25" w:themeColor="accent1" w:themeTint="BF"/>
          <w:right w:val="single" w:sz="8" w:space="0" w:color="FF8C2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9B7" w:themeFill="accent1" w:themeFillTint="3F"/>
      </w:tcPr>
    </w:tblStylePr>
    <w:tblStylePr w:type="band1Horz">
      <w:tblPr/>
      <w:tcPr>
        <w:tcBorders>
          <w:insideH w:val="nil"/>
          <w:insideV w:val="nil"/>
        </w:tcBorders>
        <w:shd w:val="clear" w:color="auto" w:fill="FFD9B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hidden/>
    <w:uiPriority w:val="63"/>
    <w:rsid w:val="00BB789B"/>
    <w:pPr>
      <w:spacing w:after="0" w:line="240" w:lineRule="auto"/>
    </w:pPr>
    <w:tblPr>
      <w:tblStyleRowBandSize w:val="1"/>
      <w:tblStyleColBandSize w:val="1"/>
      <w:tblBorders>
        <w:top w:val="single" w:sz="8" w:space="0" w:color="FFC840" w:themeColor="accent2" w:themeTint="BF"/>
        <w:left w:val="single" w:sz="8" w:space="0" w:color="FFC840" w:themeColor="accent2" w:themeTint="BF"/>
        <w:bottom w:val="single" w:sz="8" w:space="0" w:color="FFC840" w:themeColor="accent2" w:themeTint="BF"/>
        <w:right w:val="single" w:sz="8" w:space="0" w:color="FFC840" w:themeColor="accent2" w:themeTint="BF"/>
        <w:insideH w:val="single" w:sz="8" w:space="0" w:color="FFC840" w:themeColor="accent2" w:themeTint="BF"/>
      </w:tblBorders>
    </w:tblPr>
    <w:tblStylePr w:type="firstRow">
      <w:pPr>
        <w:spacing w:before="0" w:after="0" w:line="240" w:lineRule="auto"/>
      </w:pPr>
      <w:rPr>
        <w:b/>
        <w:bCs/>
        <w:color w:val="FFFFFF" w:themeColor="background1"/>
      </w:rPr>
      <w:tblPr/>
      <w:tcPr>
        <w:tcBorders>
          <w:top w:val="single" w:sz="8" w:space="0" w:color="FFC840" w:themeColor="accent2" w:themeTint="BF"/>
          <w:left w:val="single" w:sz="8" w:space="0" w:color="FFC840" w:themeColor="accent2" w:themeTint="BF"/>
          <w:bottom w:val="single" w:sz="8" w:space="0" w:color="FFC840" w:themeColor="accent2" w:themeTint="BF"/>
          <w:right w:val="single" w:sz="8" w:space="0" w:color="FFC840" w:themeColor="accent2" w:themeTint="BF"/>
          <w:insideH w:val="nil"/>
          <w:insideV w:val="nil"/>
        </w:tcBorders>
        <w:shd w:val="clear" w:color="auto" w:fill="FFB600" w:themeFill="accent2"/>
      </w:tcPr>
    </w:tblStylePr>
    <w:tblStylePr w:type="lastRow">
      <w:pPr>
        <w:spacing w:before="0" w:after="0" w:line="240" w:lineRule="auto"/>
      </w:pPr>
      <w:rPr>
        <w:b/>
        <w:bCs/>
      </w:rPr>
      <w:tblPr/>
      <w:tcPr>
        <w:tcBorders>
          <w:top w:val="double" w:sz="6" w:space="0" w:color="FFC840" w:themeColor="accent2" w:themeTint="BF"/>
          <w:left w:val="single" w:sz="8" w:space="0" w:color="FFC840" w:themeColor="accent2" w:themeTint="BF"/>
          <w:bottom w:val="single" w:sz="8" w:space="0" w:color="FFC840" w:themeColor="accent2" w:themeTint="BF"/>
          <w:right w:val="single" w:sz="8" w:space="0" w:color="FFC8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ECC0" w:themeFill="accent2" w:themeFillTint="3F"/>
      </w:tcPr>
    </w:tblStylePr>
    <w:tblStylePr w:type="band1Horz">
      <w:tblPr/>
      <w:tcPr>
        <w:tcBorders>
          <w:insideH w:val="nil"/>
          <w:insideV w:val="nil"/>
        </w:tcBorders>
        <w:shd w:val="clear" w:color="auto" w:fill="FFECC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hidden/>
    <w:uiPriority w:val="63"/>
    <w:rsid w:val="00BB789B"/>
    <w:pPr>
      <w:spacing w:after="0" w:line="240" w:lineRule="auto"/>
    </w:pPr>
    <w:tblPr>
      <w:tblStyleRowBandSize w:val="1"/>
      <w:tblStyleColBandSize w:val="1"/>
      <w:tblBorders>
        <w:top w:val="single" w:sz="8"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single" w:sz="8" w:space="0" w:color="A73C38" w:themeColor="accent3" w:themeTint="BF"/>
      </w:tblBorders>
    </w:tblPr>
    <w:tblStylePr w:type="firstRow">
      <w:pPr>
        <w:spacing w:before="0" w:after="0" w:line="240" w:lineRule="auto"/>
      </w:pPr>
      <w:rPr>
        <w:b/>
        <w:bCs/>
        <w:color w:val="FFFFFF" w:themeColor="background1"/>
      </w:rPr>
      <w:tblPr/>
      <w:tcPr>
        <w:tcBorders>
          <w:top w:val="single" w:sz="8"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nil"/>
          <w:insideV w:val="nil"/>
        </w:tcBorders>
        <w:shd w:val="clear" w:color="auto" w:fill="602320" w:themeFill="accent3"/>
      </w:tcPr>
    </w:tblStylePr>
    <w:tblStylePr w:type="lastRow">
      <w:pPr>
        <w:spacing w:before="0" w:after="0" w:line="240" w:lineRule="auto"/>
      </w:pPr>
      <w:rPr>
        <w:b/>
        <w:bCs/>
      </w:rPr>
      <w:tblPr/>
      <w:tcPr>
        <w:tcBorders>
          <w:top w:val="double" w:sz="6" w:space="0" w:color="A73C38" w:themeColor="accent3" w:themeTint="BF"/>
          <w:left w:val="single" w:sz="8" w:space="0" w:color="A73C38" w:themeColor="accent3" w:themeTint="BF"/>
          <w:bottom w:val="single" w:sz="8" w:space="0" w:color="A73C38" w:themeColor="accent3" w:themeTint="BF"/>
          <w:right w:val="single" w:sz="8" w:space="0" w:color="A73C38" w:themeColor="accent3" w:themeTint="BF"/>
          <w:insideH w:val="nil"/>
          <w:insideV w:val="nil"/>
        </w:tcBorders>
      </w:tcPr>
    </w:tblStylePr>
    <w:tblStylePr w:type="firstCol">
      <w:rPr>
        <w:b/>
        <w:bCs/>
      </w:rPr>
    </w:tblStylePr>
    <w:tblStylePr w:type="lastCol">
      <w:rPr>
        <w:b/>
        <w:bCs/>
      </w:rPr>
    </w:tblStylePr>
    <w:tblStylePr w:type="band1Vert">
      <w:tblPr/>
      <w:tcPr>
        <w:shd w:val="clear" w:color="auto" w:fill="E7BAB8" w:themeFill="accent3" w:themeFillTint="3F"/>
      </w:tcPr>
    </w:tblStylePr>
    <w:tblStylePr w:type="band1Horz">
      <w:tblPr/>
      <w:tcPr>
        <w:tcBorders>
          <w:insideH w:val="nil"/>
          <w:insideV w:val="nil"/>
        </w:tcBorders>
        <w:shd w:val="clear" w:color="auto" w:fill="E7BAB8" w:themeFill="accent3" w:themeFillTint="3F"/>
      </w:tcPr>
    </w:tblStylePr>
    <w:tblStylePr w:type="band2Horz">
      <w:tblPr/>
      <w:tcPr>
        <w:tcBorders>
          <w:insideH w:val="nil"/>
          <w:insideV w:val="nil"/>
        </w:tcBorders>
      </w:tcPr>
    </w:tblStylePr>
  </w:style>
  <w:style w:type="table" w:styleId="MediumShading1-Accent5">
    <w:name w:val="Medium Shading 1 Accent 5"/>
    <w:basedOn w:val="TableNormal"/>
    <w:hidden/>
    <w:uiPriority w:val="63"/>
    <w:rsid w:val="00BB789B"/>
    <w:pPr>
      <w:spacing w:after="0" w:line="240" w:lineRule="auto"/>
    </w:pPr>
    <w:tblPr>
      <w:tblStyleRowBandSize w:val="1"/>
      <w:tblStyleColBandSize w:val="1"/>
      <w:tblBorders>
        <w:top w:val="single" w:sz="8" w:space="0" w:color="D83939" w:themeColor="accent5" w:themeTint="BF"/>
        <w:left w:val="single" w:sz="8" w:space="0" w:color="D83939" w:themeColor="accent5" w:themeTint="BF"/>
        <w:bottom w:val="single" w:sz="8" w:space="0" w:color="D83939" w:themeColor="accent5" w:themeTint="BF"/>
        <w:right w:val="single" w:sz="8" w:space="0" w:color="D83939" w:themeColor="accent5" w:themeTint="BF"/>
        <w:insideH w:val="single" w:sz="8" w:space="0" w:color="D83939" w:themeColor="accent5" w:themeTint="BF"/>
      </w:tblBorders>
    </w:tblPr>
    <w:tblStylePr w:type="firstRow">
      <w:pPr>
        <w:spacing w:before="0" w:after="0" w:line="240" w:lineRule="auto"/>
      </w:pPr>
      <w:rPr>
        <w:b/>
        <w:bCs/>
        <w:color w:val="FFFFFF" w:themeColor="background1"/>
      </w:rPr>
      <w:tblPr/>
      <w:tcPr>
        <w:tcBorders>
          <w:top w:val="single" w:sz="8" w:space="0" w:color="D83939" w:themeColor="accent5" w:themeTint="BF"/>
          <w:left w:val="single" w:sz="8" w:space="0" w:color="D83939" w:themeColor="accent5" w:themeTint="BF"/>
          <w:bottom w:val="single" w:sz="8" w:space="0" w:color="D83939" w:themeColor="accent5" w:themeTint="BF"/>
          <w:right w:val="single" w:sz="8" w:space="0" w:color="D83939" w:themeColor="accent5" w:themeTint="BF"/>
          <w:insideH w:val="nil"/>
          <w:insideV w:val="nil"/>
        </w:tcBorders>
        <w:shd w:val="clear" w:color="auto" w:fill="A32020" w:themeFill="accent5"/>
      </w:tcPr>
    </w:tblStylePr>
    <w:tblStylePr w:type="lastRow">
      <w:pPr>
        <w:spacing w:before="0" w:after="0" w:line="240" w:lineRule="auto"/>
      </w:pPr>
      <w:rPr>
        <w:b/>
        <w:bCs/>
      </w:rPr>
      <w:tblPr/>
      <w:tcPr>
        <w:tcBorders>
          <w:top w:val="double" w:sz="6" w:space="0" w:color="D83939" w:themeColor="accent5" w:themeTint="BF"/>
          <w:left w:val="single" w:sz="8" w:space="0" w:color="D83939" w:themeColor="accent5" w:themeTint="BF"/>
          <w:bottom w:val="single" w:sz="8" w:space="0" w:color="D83939" w:themeColor="accent5" w:themeTint="BF"/>
          <w:right w:val="single" w:sz="8" w:space="0" w:color="D83939" w:themeColor="accent5" w:themeTint="BF"/>
          <w:insideH w:val="nil"/>
          <w:insideV w:val="nil"/>
        </w:tcBorders>
      </w:tcPr>
    </w:tblStylePr>
    <w:tblStylePr w:type="firstCol">
      <w:rPr>
        <w:b/>
        <w:bCs/>
      </w:rPr>
    </w:tblStylePr>
    <w:tblStylePr w:type="lastCol">
      <w:rPr>
        <w:b/>
        <w:bCs/>
      </w:rPr>
    </w:tblStylePr>
    <w:tblStylePr w:type="band1Vert">
      <w:tblPr/>
      <w:tcPr>
        <w:shd w:val="clear" w:color="auto" w:fill="F2BDBD" w:themeFill="accent5" w:themeFillTint="3F"/>
      </w:tcPr>
    </w:tblStylePr>
    <w:tblStylePr w:type="band1Horz">
      <w:tblPr/>
      <w:tcPr>
        <w:tcBorders>
          <w:insideH w:val="nil"/>
          <w:insideV w:val="nil"/>
        </w:tcBorders>
        <w:shd w:val="clear" w:color="auto" w:fill="F2BDBD"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hidden/>
    <w:uiPriority w:val="63"/>
    <w:rsid w:val="00BB789B"/>
    <w:pPr>
      <w:spacing w:after="0" w:line="240" w:lineRule="auto"/>
    </w:pPr>
    <w:tblPr>
      <w:tblStyleRowBandSize w:val="1"/>
      <w:tblStyleColBandSize w:val="1"/>
      <w:tblBorders>
        <w:top w:val="single" w:sz="8" w:space="0" w:color="E86255" w:themeColor="accent6" w:themeTint="BF"/>
        <w:left w:val="single" w:sz="8" w:space="0" w:color="E86255" w:themeColor="accent6" w:themeTint="BF"/>
        <w:bottom w:val="single" w:sz="8" w:space="0" w:color="E86255" w:themeColor="accent6" w:themeTint="BF"/>
        <w:right w:val="single" w:sz="8" w:space="0" w:color="E86255" w:themeColor="accent6" w:themeTint="BF"/>
        <w:insideH w:val="single" w:sz="8" w:space="0" w:color="E86255" w:themeColor="accent6" w:themeTint="BF"/>
      </w:tblBorders>
    </w:tblPr>
    <w:tblStylePr w:type="firstRow">
      <w:pPr>
        <w:spacing w:before="0" w:after="0" w:line="240" w:lineRule="auto"/>
      </w:pPr>
      <w:rPr>
        <w:b/>
        <w:bCs/>
        <w:color w:val="FFFFFF" w:themeColor="background1"/>
      </w:rPr>
      <w:tblPr/>
      <w:tcPr>
        <w:tcBorders>
          <w:top w:val="single" w:sz="8" w:space="0" w:color="E86255" w:themeColor="accent6" w:themeTint="BF"/>
          <w:left w:val="single" w:sz="8" w:space="0" w:color="E86255" w:themeColor="accent6" w:themeTint="BF"/>
          <w:bottom w:val="single" w:sz="8" w:space="0" w:color="E86255" w:themeColor="accent6" w:themeTint="BF"/>
          <w:right w:val="single" w:sz="8" w:space="0" w:color="E86255" w:themeColor="accent6" w:themeTint="BF"/>
          <w:insideH w:val="nil"/>
          <w:insideV w:val="nil"/>
        </w:tcBorders>
        <w:shd w:val="clear" w:color="auto" w:fill="E0301E" w:themeFill="accent6"/>
      </w:tcPr>
    </w:tblStylePr>
    <w:tblStylePr w:type="lastRow">
      <w:pPr>
        <w:spacing w:before="0" w:after="0" w:line="240" w:lineRule="auto"/>
      </w:pPr>
      <w:rPr>
        <w:b/>
        <w:bCs/>
      </w:rPr>
      <w:tblPr/>
      <w:tcPr>
        <w:tcBorders>
          <w:top w:val="double" w:sz="6" w:space="0" w:color="E86255" w:themeColor="accent6" w:themeTint="BF"/>
          <w:left w:val="single" w:sz="8" w:space="0" w:color="E86255" w:themeColor="accent6" w:themeTint="BF"/>
          <w:bottom w:val="single" w:sz="8" w:space="0" w:color="E86255" w:themeColor="accent6" w:themeTint="BF"/>
          <w:right w:val="single" w:sz="8" w:space="0" w:color="E86255"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CBC7" w:themeFill="accent6" w:themeFillTint="3F"/>
      </w:tcPr>
    </w:tblStylePr>
    <w:tblStylePr w:type="band1Horz">
      <w:tblPr/>
      <w:tcPr>
        <w:tcBorders>
          <w:insideH w:val="nil"/>
          <w:insideV w:val="nil"/>
        </w:tcBorders>
        <w:shd w:val="clear" w:color="auto" w:fill="F7CBC7" w:themeFill="accent6" w:themeFillTint="3F"/>
      </w:tcPr>
    </w:tblStylePr>
    <w:tblStylePr w:type="band2Horz">
      <w:tblPr/>
      <w:tcPr>
        <w:tcBorders>
          <w:insideH w:val="nil"/>
          <w:insideV w:val="nil"/>
        </w:tcBorders>
      </w:tcPr>
    </w:tblStylePr>
  </w:style>
  <w:style w:type="table" w:customStyle="1" w:styleId="MediumShading21">
    <w:name w:val="Medium Shading 21"/>
    <w:basedOn w:val="TableNormal"/>
    <w:hidden/>
    <w:uiPriority w:val="64"/>
    <w:rsid w:val="00BB78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1">
    <w:name w:val="Medium Shading 2 - Accent 11"/>
    <w:basedOn w:val="TableNormal"/>
    <w:hidden/>
    <w:uiPriority w:val="64"/>
    <w:rsid w:val="00BB78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69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6900" w:themeFill="accent1"/>
      </w:tcPr>
    </w:tblStylePr>
    <w:tblStylePr w:type="lastCol">
      <w:rPr>
        <w:b/>
        <w:bCs/>
        <w:color w:val="FFFFFF" w:themeColor="background1"/>
      </w:rPr>
      <w:tblPr/>
      <w:tcPr>
        <w:tcBorders>
          <w:left w:val="nil"/>
          <w:right w:val="nil"/>
          <w:insideH w:val="nil"/>
          <w:insideV w:val="nil"/>
        </w:tcBorders>
        <w:shd w:val="clear" w:color="auto" w:fill="DC69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hidden/>
    <w:uiPriority w:val="64"/>
    <w:rsid w:val="00BB78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B6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B600" w:themeFill="accent2"/>
      </w:tcPr>
    </w:tblStylePr>
    <w:tblStylePr w:type="lastCol">
      <w:rPr>
        <w:b/>
        <w:bCs/>
        <w:color w:val="FFFFFF" w:themeColor="background1"/>
      </w:rPr>
      <w:tblPr/>
      <w:tcPr>
        <w:tcBorders>
          <w:left w:val="nil"/>
          <w:right w:val="nil"/>
          <w:insideH w:val="nil"/>
          <w:insideV w:val="nil"/>
        </w:tcBorders>
        <w:shd w:val="clear" w:color="auto" w:fill="FFB6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hidden/>
    <w:uiPriority w:val="64"/>
    <w:rsid w:val="00BB78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02320"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02320" w:themeFill="accent3"/>
      </w:tcPr>
    </w:tblStylePr>
    <w:tblStylePr w:type="lastCol">
      <w:rPr>
        <w:b/>
        <w:bCs/>
        <w:color w:val="FFFFFF" w:themeColor="background1"/>
      </w:rPr>
      <w:tblPr/>
      <w:tcPr>
        <w:tcBorders>
          <w:left w:val="nil"/>
          <w:right w:val="nil"/>
          <w:insideH w:val="nil"/>
          <w:insideV w:val="nil"/>
        </w:tcBorders>
        <w:shd w:val="clear" w:color="auto" w:fill="602320"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hidden/>
    <w:uiPriority w:val="64"/>
    <w:rsid w:val="00BB78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27588"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27588" w:themeFill="accent4"/>
      </w:tcPr>
    </w:tblStylePr>
    <w:tblStylePr w:type="lastCol">
      <w:rPr>
        <w:b/>
        <w:bCs/>
        <w:color w:val="FFFFFF" w:themeColor="background1"/>
      </w:rPr>
      <w:tblPr/>
      <w:tcPr>
        <w:tcBorders>
          <w:left w:val="nil"/>
          <w:right w:val="nil"/>
          <w:insideH w:val="nil"/>
          <w:insideV w:val="nil"/>
        </w:tcBorders>
        <w:shd w:val="clear" w:color="auto" w:fill="E27588"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hidden/>
    <w:uiPriority w:val="64"/>
    <w:rsid w:val="00BB78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3202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32020" w:themeFill="accent5"/>
      </w:tcPr>
    </w:tblStylePr>
    <w:tblStylePr w:type="lastCol">
      <w:rPr>
        <w:b/>
        <w:bCs/>
        <w:color w:val="FFFFFF" w:themeColor="background1"/>
      </w:rPr>
      <w:tblPr/>
      <w:tcPr>
        <w:tcBorders>
          <w:left w:val="nil"/>
          <w:right w:val="nil"/>
          <w:insideH w:val="nil"/>
          <w:insideV w:val="nil"/>
        </w:tcBorders>
        <w:shd w:val="clear" w:color="auto" w:fill="A3202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hidden/>
    <w:uiPriority w:val="64"/>
    <w:rsid w:val="00BB789B"/>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301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0301E" w:themeFill="accent6"/>
      </w:tcPr>
    </w:tblStylePr>
    <w:tblStylePr w:type="lastCol">
      <w:rPr>
        <w:b/>
        <w:bCs/>
        <w:color w:val="FFFFFF" w:themeColor="background1"/>
      </w:rPr>
      <w:tblPr/>
      <w:tcPr>
        <w:tcBorders>
          <w:left w:val="nil"/>
          <w:right w:val="nil"/>
          <w:insideH w:val="nil"/>
          <w:insideV w:val="nil"/>
        </w:tcBorders>
        <w:shd w:val="clear" w:color="auto" w:fill="E0301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PageNumber0">
    <w:name w:val="page number"/>
    <w:basedOn w:val="DefaultParagraphFont"/>
    <w:hidden/>
    <w:uiPriority w:val="99"/>
    <w:semiHidden/>
    <w:unhideWhenUsed/>
    <w:rsid w:val="00BB789B"/>
  </w:style>
  <w:style w:type="character" w:styleId="PlaceholderText">
    <w:name w:val="Placeholder Text"/>
    <w:basedOn w:val="DefaultParagraphFont"/>
    <w:hidden/>
    <w:uiPriority w:val="99"/>
    <w:semiHidden/>
    <w:rsid w:val="00BB789B"/>
    <w:rPr>
      <w:color w:val="808080"/>
    </w:rPr>
  </w:style>
  <w:style w:type="table" w:styleId="Table3Deffects1">
    <w:name w:val="Table 3D effects 1"/>
    <w:basedOn w:val="TableNormal"/>
    <w:hidden/>
    <w:uiPriority w:val="99"/>
    <w:semiHidden/>
    <w:unhideWhenUsed/>
    <w:rsid w:val="00BB789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3">
    <w:name w:val="Table 3D effects 3"/>
    <w:basedOn w:val="TableNormal"/>
    <w:hidden/>
    <w:uiPriority w:val="99"/>
    <w:semiHidden/>
    <w:unhideWhenUsed/>
    <w:rsid w:val="00BB789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hidden/>
    <w:uiPriority w:val="99"/>
    <w:semiHidden/>
    <w:unhideWhenUsed/>
    <w:rsid w:val="00BB789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4">
    <w:name w:val="Table Classic 4"/>
    <w:basedOn w:val="TableNormal"/>
    <w:hidden/>
    <w:uiPriority w:val="99"/>
    <w:semiHidden/>
    <w:unhideWhenUsed/>
    <w:rsid w:val="00BB789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2">
    <w:name w:val="Table Colorful 2"/>
    <w:basedOn w:val="TableNormal"/>
    <w:hidden/>
    <w:uiPriority w:val="99"/>
    <w:semiHidden/>
    <w:unhideWhenUsed/>
    <w:rsid w:val="00BB789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umns1">
    <w:name w:val="Table Columns 1"/>
    <w:basedOn w:val="TableNormal"/>
    <w:hidden/>
    <w:uiPriority w:val="99"/>
    <w:semiHidden/>
    <w:unhideWhenUsed/>
    <w:rsid w:val="00BB789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hidden/>
    <w:uiPriority w:val="99"/>
    <w:semiHidden/>
    <w:unhideWhenUsed/>
    <w:rsid w:val="00BB789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5">
    <w:name w:val="Table Columns 5"/>
    <w:basedOn w:val="TableNormal"/>
    <w:hidden/>
    <w:uiPriority w:val="99"/>
    <w:semiHidden/>
    <w:unhideWhenUsed/>
    <w:rsid w:val="00BB789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Elegant">
    <w:name w:val="Table Elegant"/>
    <w:basedOn w:val="TableNormal"/>
    <w:hidden/>
    <w:uiPriority w:val="99"/>
    <w:semiHidden/>
    <w:unhideWhenUsed/>
    <w:rsid w:val="00BB789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hidden/>
    <w:uiPriority w:val="99"/>
    <w:semiHidden/>
    <w:unhideWhenUsed/>
    <w:rsid w:val="00BB789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3">
    <w:name w:val="Table Grid 3"/>
    <w:basedOn w:val="TableNormal"/>
    <w:hidden/>
    <w:uiPriority w:val="99"/>
    <w:semiHidden/>
    <w:unhideWhenUsed/>
    <w:rsid w:val="00BB789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5">
    <w:name w:val="Table Grid 5"/>
    <w:basedOn w:val="TableNormal"/>
    <w:hidden/>
    <w:uiPriority w:val="99"/>
    <w:semiHidden/>
    <w:unhideWhenUsed/>
    <w:rsid w:val="00BB789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hidden/>
    <w:uiPriority w:val="99"/>
    <w:semiHidden/>
    <w:unhideWhenUsed/>
    <w:rsid w:val="00BB789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List1">
    <w:name w:val="Table List 1"/>
    <w:basedOn w:val="TableNormal"/>
    <w:hidden/>
    <w:uiPriority w:val="99"/>
    <w:semiHidden/>
    <w:unhideWhenUsed/>
    <w:rsid w:val="00BB789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hidden/>
    <w:uiPriority w:val="99"/>
    <w:semiHidden/>
    <w:unhideWhenUsed/>
    <w:rsid w:val="00BB789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5">
    <w:name w:val="Table List 5"/>
    <w:basedOn w:val="TableNormal"/>
    <w:hidden/>
    <w:uiPriority w:val="99"/>
    <w:semiHidden/>
    <w:unhideWhenUsed/>
    <w:rsid w:val="00BB789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7">
    <w:name w:val="Table List 7"/>
    <w:basedOn w:val="TableNormal"/>
    <w:hidden/>
    <w:uiPriority w:val="99"/>
    <w:semiHidden/>
    <w:unhideWhenUsed/>
    <w:rsid w:val="00BB789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Professional">
    <w:name w:val="Table Professional"/>
    <w:basedOn w:val="TableNormal"/>
    <w:hidden/>
    <w:uiPriority w:val="99"/>
    <w:semiHidden/>
    <w:unhideWhenUsed/>
    <w:rsid w:val="00BB789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2">
    <w:name w:val="Table Simple 2"/>
    <w:basedOn w:val="TableNormal"/>
    <w:hidden/>
    <w:uiPriority w:val="99"/>
    <w:semiHidden/>
    <w:unhideWhenUsed/>
    <w:rsid w:val="00BB789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ubtle1">
    <w:name w:val="Table Subtle 1"/>
    <w:basedOn w:val="TableNormal"/>
    <w:hidden/>
    <w:uiPriority w:val="99"/>
    <w:semiHidden/>
    <w:unhideWhenUsed/>
    <w:rsid w:val="00BB789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hidden/>
    <w:uiPriority w:val="99"/>
    <w:semiHidden/>
    <w:unhideWhenUsed/>
    <w:rsid w:val="00BB7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2">
    <w:name w:val="Table Web 2"/>
    <w:basedOn w:val="TableNormal"/>
    <w:hidden/>
    <w:uiPriority w:val="99"/>
    <w:semiHidden/>
    <w:unhideWhenUsed/>
    <w:rsid w:val="00BB789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Spacing365mm">
    <w:name w:val="Spacing 36_5 mm"/>
    <w:basedOn w:val="BodyText"/>
    <w:uiPriority w:val="34"/>
    <w:rsid w:val="003A706F"/>
    <w:pPr>
      <w:spacing w:after="0" w:line="1673" w:lineRule="exact"/>
    </w:pPr>
    <w:rPr>
      <w:rFonts w:ascii="Arial" w:hAnsi="Arial"/>
      <w:sz w:val="2"/>
    </w:rPr>
  </w:style>
  <w:style w:type="paragraph" w:customStyle="1" w:styleId="HeaderProposal">
    <w:name w:val="Header Proposal"/>
    <w:basedOn w:val="Header"/>
    <w:uiPriority w:val="34"/>
    <w:rsid w:val="007A7FB7"/>
    <w:pPr>
      <w:ind w:left="-1349"/>
    </w:pPr>
    <w:rPr>
      <w:sz w:val="19"/>
    </w:rPr>
  </w:style>
  <w:style w:type="table" w:styleId="ColorfulGrid">
    <w:name w:val="Colorful Grid"/>
    <w:basedOn w:val="TableNormal"/>
    <w:uiPriority w:val="73"/>
    <w:rsid w:val="006859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List">
    <w:name w:val="Colorful List"/>
    <w:basedOn w:val="TableNormal"/>
    <w:uiPriority w:val="72"/>
    <w:rsid w:val="006859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9100" w:themeFill="accent2" w:themeFillShade="CC"/>
      </w:tcPr>
    </w:tblStylePr>
    <w:tblStylePr w:type="lastRow">
      <w:rPr>
        <w:b/>
        <w:bCs/>
        <w:color w:val="CC91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Shading">
    <w:name w:val="Colorful Shading"/>
    <w:basedOn w:val="TableNormal"/>
    <w:uiPriority w:val="71"/>
    <w:rsid w:val="00685985"/>
    <w:pPr>
      <w:spacing w:after="0" w:line="240" w:lineRule="auto"/>
    </w:pPr>
    <w:rPr>
      <w:color w:val="000000" w:themeColor="text1"/>
    </w:rPr>
    <w:tblPr>
      <w:tblStyleRowBandSize w:val="1"/>
      <w:tblStyleColBandSize w:val="1"/>
      <w:tblBorders>
        <w:top w:val="single" w:sz="24" w:space="0" w:color="FFB6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B6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6859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character" w:styleId="HTMLCode">
    <w:name w:val="HTML Code"/>
    <w:basedOn w:val="DefaultParagraphFont"/>
    <w:uiPriority w:val="99"/>
    <w:semiHidden/>
    <w:unhideWhenUsed/>
    <w:rsid w:val="00685985"/>
    <w:rPr>
      <w:rFonts w:ascii="Consolas" w:hAnsi="Consolas"/>
      <w:sz w:val="20"/>
      <w:szCs w:val="20"/>
    </w:rPr>
  </w:style>
  <w:style w:type="character" w:styleId="HTMLKeyboard">
    <w:name w:val="HTML Keyboard"/>
    <w:basedOn w:val="DefaultParagraphFont"/>
    <w:uiPriority w:val="99"/>
    <w:semiHidden/>
    <w:unhideWhenUsed/>
    <w:rsid w:val="00685985"/>
    <w:rPr>
      <w:rFonts w:ascii="Consolas" w:hAnsi="Consolas"/>
      <w:sz w:val="20"/>
      <w:szCs w:val="20"/>
    </w:rPr>
  </w:style>
  <w:style w:type="character" w:styleId="HTMLTypewriter">
    <w:name w:val="HTML Typewriter"/>
    <w:basedOn w:val="DefaultParagraphFont"/>
    <w:uiPriority w:val="99"/>
    <w:semiHidden/>
    <w:unhideWhenUsed/>
    <w:rsid w:val="00685985"/>
    <w:rPr>
      <w:rFonts w:ascii="Consolas" w:hAnsi="Consolas"/>
      <w:sz w:val="20"/>
      <w:szCs w:val="20"/>
    </w:rPr>
  </w:style>
  <w:style w:type="table" w:styleId="LightGrid">
    <w:name w:val="Light Grid"/>
    <w:basedOn w:val="TableNormal"/>
    <w:uiPriority w:val="62"/>
    <w:rsid w:val="006859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685985"/>
    <w:pPr>
      <w:spacing w:after="0" w:line="240" w:lineRule="auto"/>
    </w:pPr>
    <w:tblPr>
      <w:tblStyleRowBandSize w:val="1"/>
      <w:tblStyleColBandSize w:val="1"/>
      <w:tblBorders>
        <w:top w:val="single" w:sz="8" w:space="0" w:color="DC6900" w:themeColor="accent1"/>
        <w:left w:val="single" w:sz="8" w:space="0" w:color="DC6900" w:themeColor="accent1"/>
        <w:bottom w:val="single" w:sz="8" w:space="0" w:color="DC6900" w:themeColor="accent1"/>
        <w:right w:val="single" w:sz="8" w:space="0" w:color="DC6900" w:themeColor="accent1"/>
        <w:insideH w:val="single" w:sz="8" w:space="0" w:color="DC6900" w:themeColor="accent1"/>
        <w:insideV w:val="single" w:sz="8" w:space="0" w:color="DC690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C6900" w:themeColor="accent1"/>
          <w:left w:val="single" w:sz="8" w:space="0" w:color="DC6900" w:themeColor="accent1"/>
          <w:bottom w:val="single" w:sz="18" w:space="0" w:color="DC6900" w:themeColor="accent1"/>
          <w:right w:val="single" w:sz="8" w:space="0" w:color="DC6900" w:themeColor="accent1"/>
          <w:insideH w:val="nil"/>
          <w:insideV w:val="single" w:sz="8" w:space="0" w:color="DC690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C6900" w:themeColor="accent1"/>
          <w:left w:val="single" w:sz="8" w:space="0" w:color="DC6900" w:themeColor="accent1"/>
          <w:bottom w:val="single" w:sz="8" w:space="0" w:color="DC6900" w:themeColor="accent1"/>
          <w:right w:val="single" w:sz="8" w:space="0" w:color="DC6900" w:themeColor="accent1"/>
          <w:insideH w:val="nil"/>
          <w:insideV w:val="single" w:sz="8" w:space="0" w:color="DC690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C6900" w:themeColor="accent1"/>
          <w:left w:val="single" w:sz="8" w:space="0" w:color="DC6900" w:themeColor="accent1"/>
          <w:bottom w:val="single" w:sz="8" w:space="0" w:color="DC6900" w:themeColor="accent1"/>
          <w:right w:val="single" w:sz="8" w:space="0" w:color="DC6900" w:themeColor="accent1"/>
        </w:tcBorders>
      </w:tcPr>
    </w:tblStylePr>
    <w:tblStylePr w:type="band1Vert">
      <w:tblPr/>
      <w:tcPr>
        <w:tcBorders>
          <w:top w:val="single" w:sz="8" w:space="0" w:color="DC6900" w:themeColor="accent1"/>
          <w:left w:val="single" w:sz="8" w:space="0" w:color="DC6900" w:themeColor="accent1"/>
          <w:bottom w:val="single" w:sz="8" w:space="0" w:color="DC6900" w:themeColor="accent1"/>
          <w:right w:val="single" w:sz="8" w:space="0" w:color="DC6900" w:themeColor="accent1"/>
        </w:tcBorders>
        <w:shd w:val="clear" w:color="auto" w:fill="FFD9B7" w:themeFill="accent1" w:themeFillTint="3F"/>
      </w:tcPr>
    </w:tblStylePr>
    <w:tblStylePr w:type="band1Horz">
      <w:tblPr/>
      <w:tcPr>
        <w:tcBorders>
          <w:top w:val="single" w:sz="8" w:space="0" w:color="DC6900" w:themeColor="accent1"/>
          <w:left w:val="single" w:sz="8" w:space="0" w:color="DC6900" w:themeColor="accent1"/>
          <w:bottom w:val="single" w:sz="8" w:space="0" w:color="DC6900" w:themeColor="accent1"/>
          <w:right w:val="single" w:sz="8" w:space="0" w:color="DC6900" w:themeColor="accent1"/>
          <w:insideV w:val="single" w:sz="8" w:space="0" w:color="DC6900" w:themeColor="accent1"/>
        </w:tcBorders>
        <w:shd w:val="clear" w:color="auto" w:fill="FFD9B7" w:themeFill="accent1" w:themeFillTint="3F"/>
      </w:tcPr>
    </w:tblStylePr>
    <w:tblStylePr w:type="band2Horz">
      <w:tblPr/>
      <w:tcPr>
        <w:tcBorders>
          <w:top w:val="single" w:sz="8" w:space="0" w:color="DC6900" w:themeColor="accent1"/>
          <w:left w:val="single" w:sz="8" w:space="0" w:color="DC6900" w:themeColor="accent1"/>
          <w:bottom w:val="single" w:sz="8" w:space="0" w:color="DC6900" w:themeColor="accent1"/>
          <w:right w:val="single" w:sz="8" w:space="0" w:color="DC6900" w:themeColor="accent1"/>
          <w:insideV w:val="single" w:sz="8" w:space="0" w:color="DC6900" w:themeColor="accent1"/>
        </w:tcBorders>
      </w:tcPr>
    </w:tblStylePr>
  </w:style>
  <w:style w:type="table" w:styleId="LightList">
    <w:name w:val="Light List"/>
    <w:basedOn w:val="TableNormal"/>
    <w:uiPriority w:val="61"/>
    <w:rsid w:val="006859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685985"/>
    <w:pPr>
      <w:spacing w:after="0" w:line="240" w:lineRule="auto"/>
    </w:pPr>
    <w:tblPr>
      <w:tblStyleRowBandSize w:val="1"/>
      <w:tblStyleColBandSize w:val="1"/>
      <w:tblBorders>
        <w:top w:val="single" w:sz="8" w:space="0" w:color="DC6900" w:themeColor="accent1"/>
        <w:left w:val="single" w:sz="8" w:space="0" w:color="DC6900" w:themeColor="accent1"/>
        <w:bottom w:val="single" w:sz="8" w:space="0" w:color="DC6900" w:themeColor="accent1"/>
        <w:right w:val="single" w:sz="8" w:space="0" w:color="DC6900" w:themeColor="accent1"/>
      </w:tblBorders>
    </w:tblPr>
    <w:tblStylePr w:type="firstRow">
      <w:pPr>
        <w:spacing w:before="0" w:after="0" w:line="240" w:lineRule="auto"/>
      </w:pPr>
      <w:rPr>
        <w:b/>
        <w:bCs/>
        <w:color w:val="FFFFFF" w:themeColor="background1"/>
      </w:rPr>
      <w:tblPr/>
      <w:tcPr>
        <w:shd w:val="clear" w:color="auto" w:fill="DC6900" w:themeFill="accent1"/>
      </w:tcPr>
    </w:tblStylePr>
    <w:tblStylePr w:type="lastRow">
      <w:pPr>
        <w:spacing w:before="0" w:after="0" w:line="240" w:lineRule="auto"/>
      </w:pPr>
      <w:rPr>
        <w:b/>
        <w:bCs/>
      </w:rPr>
      <w:tblPr/>
      <w:tcPr>
        <w:tcBorders>
          <w:top w:val="double" w:sz="6" w:space="0" w:color="DC6900" w:themeColor="accent1"/>
          <w:left w:val="single" w:sz="8" w:space="0" w:color="DC6900" w:themeColor="accent1"/>
          <w:bottom w:val="single" w:sz="8" w:space="0" w:color="DC6900" w:themeColor="accent1"/>
          <w:right w:val="single" w:sz="8" w:space="0" w:color="DC6900" w:themeColor="accent1"/>
        </w:tcBorders>
      </w:tcPr>
    </w:tblStylePr>
    <w:tblStylePr w:type="firstCol">
      <w:rPr>
        <w:b/>
        <w:bCs/>
      </w:rPr>
    </w:tblStylePr>
    <w:tblStylePr w:type="lastCol">
      <w:rPr>
        <w:b/>
        <w:bCs/>
      </w:rPr>
    </w:tblStylePr>
    <w:tblStylePr w:type="band1Vert">
      <w:tblPr/>
      <w:tcPr>
        <w:tcBorders>
          <w:top w:val="single" w:sz="8" w:space="0" w:color="DC6900" w:themeColor="accent1"/>
          <w:left w:val="single" w:sz="8" w:space="0" w:color="DC6900" w:themeColor="accent1"/>
          <w:bottom w:val="single" w:sz="8" w:space="0" w:color="DC6900" w:themeColor="accent1"/>
          <w:right w:val="single" w:sz="8" w:space="0" w:color="DC6900" w:themeColor="accent1"/>
        </w:tcBorders>
      </w:tcPr>
    </w:tblStylePr>
    <w:tblStylePr w:type="band1Horz">
      <w:tblPr/>
      <w:tcPr>
        <w:tcBorders>
          <w:top w:val="single" w:sz="8" w:space="0" w:color="DC6900" w:themeColor="accent1"/>
          <w:left w:val="single" w:sz="8" w:space="0" w:color="DC6900" w:themeColor="accent1"/>
          <w:bottom w:val="single" w:sz="8" w:space="0" w:color="DC6900" w:themeColor="accent1"/>
          <w:right w:val="single" w:sz="8" w:space="0" w:color="DC6900" w:themeColor="accent1"/>
        </w:tcBorders>
      </w:tcPr>
    </w:tblStylePr>
  </w:style>
  <w:style w:type="table" w:styleId="LightShading">
    <w:name w:val="Light Shading"/>
    <w:basedOn w:val="TableNormal"/>
    <w:uiPriority w:val="60"/>
    <w:rsid w:val="006859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685985"/>
    <w:pPr>
      <w:spacing w:after="0" w:line="240" w:lineRule="auto"/>
    </w:pPr>
    <w:rPr>
      <w:color w:val="A44E00" w:themeColor="accent1" w:themeShade="BF"/>
    </w:rPr>
    <w:tblPr>
      <w:tblStyleRowBandSize w:val="1"/>
      <w:tblStyleColBandSize w:val="1"/>
      <w:tblBorders>
        <w:top w:val="single" w:sz="8" w:space="0" w:color="DC6900" w:themeColor="accent1"/>
        <w:bottom w:val="single" w:sz="8" w:space="0" w:color="DC6900" w:themeColor="accent1"/>
      </w:tblBorders>
    </w:tblPr>
    <w:tblStylePr w:type="firstRow">
      <w:pPr>
        <w:spacing w:before="0" w:after="0" w:line="240" w:lineRule="auto"/>
      </w:pPr>
      <w:rPr>
        <w:b/>
        <w:bCs/>
      </w:rPr>
      <w:tblPr/>
      <w:tcPr>
        <w:tcBorders>
          <w:top w:val="single" w:sz="8" w:space="0" w:color="DC6900" w:themeColor="accent1"/>
          <w:left w:val="nil"/>
          <w:bottom w:val="single" w:sz="8" w:space="0" w:color="DC6900" w:themeColor="accent1"/>
          <w:right w:val="nil"/>
          <w:insideH w:val="nil"/>
          <w:insideV w:val="nil"/>
        </w:tcBorders>
      </w:tcPr>
    </w:tblStylePr>
    <w:tblStylePr w:type="lastRow">
      <w:pPr>
        <w:spacing w:before="0" w:after="0" w:line="240" w:lineRule="auto"/>
      </w:pPr>
      <w:rPr>
        <w:b/>
        <w:bCs/>
      </w:rPr>
      <w:tblPr/>
      <w:tcPr>
        <w:tcBorders>
          <w:top w:val="single" w:sz="8" w:space="0" w:color="DC6900" w:themeColor="accent1"/>
          <w:left w:val="nil"/>
          <w:bottom w:val="single" w:sz="8" w:space="0" w:color="DC690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9B7" w:themeFill="accent1" w:themeFillTint="3F"/>
      </w:tcPr>
    </w:tblStylePr>
    <w:tblStylePr w:type="band1Horz">
      <w:tblPr/>
      <w:tcPr>
        <w:tcBorders>
          <w:left w:val="nil"/>
          <w:right w:val="nil"/>
          <w:insideH w:val="nil"/>
          <w:insideV w:val="nil"/>
        </w:tcBorders>
        <w:shd w:val="clear" w:color="auto" w:fill="FFD9B7" w:themeFill="accent1" w:themeFillTint="3F"/>
      </w:tcPr>
    </w:tblStylePr>
  </w:style>
  <w:style w:type="table" w:styleId="MediumGrid1">
    <w:name w:val="Medium Grid 1"/>
    <w:basedOn w:val="TableNormal"/>
    <w:uiPriority w:val="67"/>
    <w:rsid w:val="006859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2">
    <w:name w:val="Medium Grid 2"/>
    <w:basedOn w:val="TableNormal"/>
    <w:uiPriority w:val="68"/>
    <w:rsid w:val="00685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3">
    <w:name w:val="Medium Grid 3"/>
    <w:basedOn w:val="TableNormal"/>
    <w:uiPriority w:val="69"/>
    <w:rsid w:val="006859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List1">
    <w:name w:val="Medium List 1"/>
    <w:basedOn w:val="TableNormal"/>
    <w:uiPriority w:val="65"/>
    <w:rsid w:val="006859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DC69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685985"/>
    <w:pPr>
      <w:spacing w:after="0" w:line="240" w:lineRule="auto"/>
    </w:pPr>
    <w:rPr>
      <w:color w:val="000000" w:themeColor="text1"/>
    </w:rPr>
    <w:tblPr>
      <w:tblStyleRowBandSize w:val="1"/>
      <w:tblStyleColBandSize w:val="1"/>
      <w:tblBorders>
        <w:top w:val="single" w:sz="8" w:space="0" w:color="DC6900" w:themeColor="accent1"/>
        <w:bottom w:val="single" w:sz="8" w:space="0" w:color="DC6900" w:themeColor="accent1"/>
      </w:tblBorders>
    </w:tblPr>
    <w:tblStylePr w:type="firstRow">
      <w:rPr>
        <w:rFonts w:asciiTheme="majorHAnsi" w:eastAsiaTheme="majorEastAsia" w:hAnsiTheme="majorHAnsi" w:cstheme="majorBidi"/>
      </w:rPr>
      <w:tblPr/>
      <w:tcPr>
        <w:tcBorders>
          <w:top w:val="nil"/>
          <w:bottom w:val="single" w:sz="8" w:space="0" w:color="DC6900" w:themeColor="accent1"/>
        </w:tcBorders>
      </w:tcPr>
    </w:tblStylePr>
    <w:tblStylePr w:type="lastRow">
      <w:rPr>
        <w:b/>
        <w:bCs/>
        <w:color w:val="DC6900" w:themeColor="text2"/>
      </w:rPr>
      <w:tblPr/>
      <w:tcPr>
        <w:tcBorders>
          <w:top w:val="single" w:sz="8" w:space="0" w:color="DC6900" w:themeColor="accent1"/>
          <w:bottom w:val="single" w:sz="8" w:space="0" w:color="DC6900" w:themeColor="accent1"/>
        </w:tcBorders>
      </w:tcPr>
    </w:tblStylePr>
    <w:tblStylePr w:type="firstCol">
      <w:rPr>
        <w:b/>
        <w:bCs/>
      </w:rPr>
    </w:tblStylePr>
    <w:tblStylePr w:type="lastCol">
      <w:rPr>
        <w:b/>
        <w:bCs/>
      </w:rPr>
      <w:tblPr/>
      <w:tcPr>
        <w:tcBorders>
          <w:top w:val="single" w:sz="8" w:space="0" w:color="DC6900" w:themeColor="accent1"/>
          <w:bottom w:val="single" w:sz="8" w:space="0" w:color="DC6900" w:themeColor="accent1"/>
        </w:tcBorders>
      </w:tcPr>
    </w:tblStylePr>
    <w:tblStylePr w:type="band1Vert">
      <w:tblPr/>
      <w:tcPr>
        <w:shd w:val="clear" w:color="auto" w:fill="FFD9B7" w:themeFill="accent1" w:themeFillTint="3F"/>
      </w:tcPr>
    </w:tblStylePr>
    <w:tblStylePr w:type="band1Horz">
      <w:tblPr/>
      <w:tcPr>
        <w:shd w:val="clear" w:color="auto" w:fill="FFD9B7" w:themeFill="accent1" w:themeFillTint="3F"/>
      </w:tcPr>
    </w:tblStylePr>
  </w:style>
  <w:style w:type="table" w:styleId="MediumList2">
    <w:name w:val="Medium List 2"/>
    <w:basedOn w:val="TableNormal"/>
    <w:uiPriority w:val="66"/>
    <w:rsid w:val="006859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6859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685985"/>
    <w:pPr>
      <w:spacing w:after="0" w:line="240" w:lineRule="auto"/>
    </w:pPr>
    <w:tblPr>
      <w:tblStyleRowBandSize w:val="1"/>
      <w:tblStyleColBandSize w:val="1"/>
      <w:tblBorders>
        <w:top w:val="single" w:sz="8" w:space="0" w:color="FF8C25" w:themeColor="accent1" w:themeTint="BF"/>
        <w:left w:val="single" w:sz="8" w:space="0" w:color="FF8C25" w:themeColor="accent1" w:themeTint="BF"/>
        <w:bottom w:val="single" w:sz="8" w:space="0" w:color="FF8C25" w:themeColor="accent1" w:themeTint="BF"/>
        <w:right w:val="single" w:sz="8" w:space="0" w:color="FF8C25" w:themeColor="accent1" w:themeTint="BF"/>
        <w:insideH w:val="single" w:sz="8" w:space="0" w:color="FF8C25" w:themeColor="accent1" w:themeTint="BF"/>
      </w:tblBorders>
    </w:tblPr>
    <w:tblStylePr w:type="firstRow">
      <w:pPr>
        <w:spacing w:before="0" w:after="0" w:line="240" w:lineRule="auto"/>
      </w:pPr>
      <w:rPr>
        <w:b/>
        <w:bCs/>
        <w:color w:val="FFFFFF" w:themeColor="background1"/>
      </w:rPr>
      <w:tblPr/>
      <w:tcPr>
        <w:tcBorders>
          <w:top w:val="single" w:sz="8" w:space="0" w:color="FF8C25" w:themeColor="accent1" w:themeTint="BF"/>
          <w:left w:val="single" w:sz="8" w:space="0" w:color="FF8C25" w:themeColor="accent1" w:themeTint="BF"/>
          <w:bottom w:val="single" w:sz="8" w:space="0" w:color="FF8C25" w:themeColor="accent1" w:themeTint="BF"/>
          <w:right w:val="single" w:sz="8" w:space="0" w:color="FF8C25" w:themeColor="accent1" w:themeTint="BF"/>
          <w:insideH w:val="nil"/>
          <w:insideV w:val="nil"/>
        </w:tcBorders>
        <w:shd w:val="clear" w:color="auto" w:fill="DC6900" w:themeFill="accent1"/>
      </w:tcPr>
    </w:tblStylePr>
    <w:tblStylePr w:type="lastRow">
      <w:pPr>
        <w:spacing w:before="0" w:after="0" w:line="240" w:lineRule="auto"/>
      </w:pPr>
      <w:rPr>
        <w:b/>
        <w:bCs/>
      </w:rPr>
      <w:tblPr/>
      <w:tcPr>
        <w:tcBorders>
          <w:top w:val="double" w:sz="6" w:space="0" w:color="FF8C25" w:themeColor="accent1" w:themeTint="BF"/>
          <w:left w:val="single" w:sz="8" w:space="0" w:color="FF8C25" w:themeColor="accent1" w:themeTint="BF"/>
          <w:bottom w:val="single" w:sz="8" w:space="0" w:color="FF8C25" w:themeColor="accent1" w:themeTint="BF"/>
          <w:right w:val="single" w:sz="8" w:space="0" w:color="FF8C2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FD9B7" w:themeFill="accent1" w:themeFillTint="3F"/>
      </w:tcPr>
    </w:tblStylePr>
    <w:tblStylePr w:type="band1Horz">
      <w:tblPr/>
      <w:tcPr>
        <w:tcBorders>
          <w:insideH w:val="nil"/>
          <w:insideV w:val="nil"/>
        </w:tcBorders>
        <w:shd w:val="clear" w:color="auto" w:fill="FFD9B7" w:themeFill="accent1"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685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6859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C690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C6900" w:themeFill="accent1"/>
      </w:tcPr>
    </w:tblStylePr>
    <w:tblStylePr w:type="lastCol">
      <w:rPr>
        <w:b/>
        <w:bCs/>
        <w:color w:val="FFFFFF" w:themeColor="background1"/>
      </w:rPr>
      <w:tblPr/>
      <w:tcPr>
        <w:tcBorders>
          <w:left w:val="nil"/>
          <w:right w:val="nil"/>
          <w:insideH w:val="nil"/>
          <w:insideV w:val="nil"/>
        </w:tcBorders>
        <w:shd w:val="clear" w:color="auto" w:fill="DC690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2">
    <w:name w:val="Table 3D effects 2"/>
    <w:basedOn w:val="TableNormal"/>
    <w:uiPriority w:val="99"/>
    <w:semiHidden/>
    <w:unhideWhenUsed/>
    <w:rsid w:val="0068598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68598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68598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68598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68598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2">
    <w:name w:val="Table Columns 2"/>
    <w:basedOn w:val="TableNormal"/>
    <w:uiPriority w:val="99"/>
    <w:semiHidden/>
    <w:unhideWhenUsed/>
    <w:rsid w:val="0068598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68598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ntemporary">
    <w:name w:val="Table Contemporary"/>
    <w:basedOn w:val="TableNormal"/>
    <w:uiPriority w:val="99"/>
    <w:semiHidden/>
    <w:unhideWhenUsed/>
    <w:rsid w:val="0068598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Grid2">
    <w:name w:val="Table Grid 2"/>
    <w:basedOn w:val="TableNormal"/>
    <w:uiPriority w:val="99"/>
    <w:semiHidden/>
    <w:unhideWhenUsed/>
    <w:rsid w:val="0068598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68598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6">
    <w:name w:val="Table Grid 6"/>
    <w:basedOn w:val="TableNormal"/>
    <w:uiPriority w:val="99"/>
    <w:semiHidden/>
    <w:unhideWhenUsed/>
    <w:rsid w:val="0068598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68598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68598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68598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6">
    <w:name w:val="Table List 6"/>
    <w:basedOn w:val="TableNormal"/>
    <w:uiPriority w:val="99"/>
    <w:semiHidden/>
    <w:unhideWhenUsed/>
    <w:rsid w:val="0068598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8">
    <w:name w:val="Table List 8"/>
    <w:basedOn w:val="TableNormal"/>
    <w:uiPriority w:val="99"/>
    <w:semiHidden/>
    <w:unhideWhenUsed/>
    <w:rsid w:val="0068598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Simple1">
    <w:name w:val="Table Simple 1"/>
    <w:basedOn w:val="TableNormal"/>
    <w:uiPriority w:val="99"/>
    <w:semiHidden/>
    <w:unhideWhenUsed/>
    <w:rsid w:val="0068598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3">
    <w:name w:val="Table Simple 3"/>
    <w:basedOn w:val="TableNormal"/>
    <w:uiPriority w:val="99"/>
    <w:semiHidden/>
    <w:unhideWhenUsed/>
    <w:rsid w:val="0068598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2">
    <w:name w:val="Table Subtle 2"/>
    <w:basedOn w:val="TableNormal"/>
    <w:uiPriority w:val="99"/>
    <w:semiHidden/>
    <w:unhideWhenUsed/>
    <w:rsid w:val="0068598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iPriority w:val="99"/>
    <w:semiHidden/>
    <w:unhideWhenUsed/>
    <w:rsid w:val="0068598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68598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ChartTableLine">
    <w:name w:val="Chart Table Line"/>
    <w:basedOn w:val="Normal"/>
    <w:rsid w:val="00D370C5"/>
    <w:pPr>
      <w:pBdr>
        <w:top w:val="single" w:sz="4" w:space="1" w:color="auto"/>
      </w:pBdr>
      <w:spacing w:before="120" w:after="60" w:line="264" w:lineRule="auto"/>
      <w:ind w:left="113" w:right="113"/>
    </w:pPr>
    <w:rPr>
      <w:rFonts w:ascii="Arial" w:eastAsia="Times New Roman" w:hAnsi="Arial" w:cs="Arial"/>
      <w:color w:val="FFFFFF"/>
      <w:sz w:val="2"/>
    </w:rPr>
  </w:style>
  <w:style w:type="paragraph" w:customStyle="1" w:styleId="ChartTableLineBold">
    <w:name w:val="Chart Table Line Bold"/>
    <w:basedOn w:val="ChartTableLine"/>
    <w:rsid w:val="00D370C5"/>
    <w:pPr>
      <w:pBdr>
        <w:top w:val="single" w:sz="8" w:space="1" w:color="auto"/>
      </w:pBdr>
    </w:pPr>
  </w:style>
  <w:style w:type="paragraph" w:customStyle="1" w:styleId="ChartTableLineDot">
    <w:name w:val="Chart Table Line Dot"/>
    <w:basedOn w:val="ChartTableLine"/>
    <w:rsid w:val="00D370C5"/>
    <w:pPr>
      <w:pBdr>
        <w:top w:val="dotted" w:sz="4" w:space="1" w:color="auto"/>
      </w:pBdr>
    </w:pPr>
  </w:style>
  <w:style w:type="paragraph" w:customStyle="1" w:styleId="ChartTableTitleCenter">
    <w:name w:val="Chart Table Title Center"/>
    <w:basedOn w:val="ChartTableTitle"/>
    <w:uiPriority w:val="34"/>
    <w:rsid w:val="00D370C5"/>
    <w:pPr>
      <w:jc w:val="center"/>
    </w:pPr>
  </w:style>
  <w:style w:type="paragraph" w:customStyle="1" w:styleId="ChartTableTitleCenterArial">
    <w:name w:val="Chart Table Title Center Arial"/>
    <w:basedOn w:val="ChartTableTitleCenter"/>
    <w:uiPriority w:val="34"/>
    <w:rsid w:val="00D370C5"/>
    <w:rPr>
      <w:rFonts w:ascii="Arial" w:hAnsi="Arial"/>
      <w:i w:val="0"/>
    </w:rPr>
  </w:style>
  <w:style w:type="paragraph" w:customStyle="1" w:styleId="ChartTableTitleRightArial">
    <w:name w:val="Chart Table Title Right Arial"/>
    <w:basedOn w:val="Normal"/>
    <w:uiPriority w:val="34"/>
    <w:qFormat/>
    <w:rsid w:val="00D370C5"/>
    <w:pPr>
      <w:spacing w:after="0"/>
      <w:jc w:val="right"/>
    </w:pPr>
    <w:rPr>
      <w:rFonts w:ascii="Arial" w:hAnsi="Arial" w:cs="Arial"/>
      <w:b/>
    </w:rPr>
  </w:style>
  <w:style w:type="paragraph" w:customStyle="1" w:styleId="ChartTableTitleSimple">
    <w:name w:val="Chart Table Title Simple"/>
    <w:basedOn w:val="ChartTableTitle"/>
    <w:uiPriority w:val="34"/>
    <w:rsid w:val="00D370C5"/>
    <w:rPr>
      <w:b w:val="0"/>
    </w:rPr>
  </w:style>
  <w:style w:type="paragraph" w:customStyle="1" w:styleId="ChartTableTitleSimpleArial">
    <w:name w:val="Chart Table Title Simple Arial"/>
    <w:basedOn w:val="ChartTableTitleSimple"/>
    <w:uiPriority w:val="34"/>
    <w:rsid w:val="00D370C5"/>
    <w:rPr>
      <w:rFonts w:ascii="Arial" w:hAnsi="Arial"/>
    </w:rPr>
  </w:style>
  <w:style w:type="paragraph" w:customStyle="1" w:styleId="ChartTableTitleSimpleRight">
    <w:name w:val="Chart Table Title Simple Right"/>
    <w:basedOn w:val="ChartTableTitleSimple"/>
    <w:uiPriority w:val="34"/>
    <w:rsid w:val="00D370C5"/>
    <w:pPr>
      <w:jc w:val="right"/>
    </w:pPr>
  </w:style>
  <w:style w:type="paragraph" w:customStyle="1" w:styleId="ChartTableTitleSimpleRightArial">
    <w:name w:val="Chart Table Title Simple Right Arial"/>
    <w:basedOn w:val="ChartTableTitleSimpleRight"/>
    <w:uiPriority w:val="34"/>
    <w:rsid w:val="00D370C5"/>
    <w:rPr>
      <w:rFonts w:ascii="Arial" w:hAnsi="Arial"/>
    </w:rPr>
  </w:style>
  <w:style w:type="paragraph" w:customStyle="1" w:styleId="ChartTextArial">
    <w:name w:val="Chart Text Arial"/>
    <w:basedOn w:val="ChartText"/>
    <w:uiPriority w:val="34"/>
    <w:rsid w:val="00D370C5"/>
    <w:rPr>
      <w:rFonts w:ascii="Arial" w:hAnsi="Arial"/>
    </w:rPr>
  </w:style>
  <w:style w:type="paragraph" w:customStyle="1" w:styleId="ChartTextCenter">
    <w:name w:val="Chart Text Center"/>
    <w:basedOn w:val="ChartText"/>
    <w:uiPriority w:val="34"/>
    <w:rsid w:val="00D370C5"/>
    <w:pPr>
      <w:jc w:val="center"/>
    </w:pPr>
  </w:style>
  <w:style w:type="paragraph" w:customStyle="1" w:styleId="ChartTextCenterArial">
    <w:name w:val="Chart Text Center Arial"/>
    <w:basedOn w:val="ChartTextCenter"/>
    <w:uiPriority w:val="34"/>
    <w:rsid w:val="00D370C5"/>
    <w:rPr>
      <w:rFonts w:ascii="Arial" w:hAnsi="Arial"/>
    </w:rPr>
  </w:style>
  <w:style w:type="paragraph" w:customStyle="1" w:styleId="ChartTextRightArial">
    <w:name w:val="Chart Text Right Arial"/>
    <w:basedOn w:val="ChartTextRight"/>
    <w:uiPriority w:val="34"/>
    <w:rsid w:val="00D370C5"/>
    <w:rPr>
      <w:rFonts w:ascii="Arial" w:hAnsi="Arial"/>
    </w:rPr>
  </w:style>
  <w:style w:type="paragraph" w:customStyle="1" w:styleId="SmallChartTableTitle">
    <w:name w:val="Small Chart Table Title"/>
    <w:basedOn w:val="ChartTableTitle"/>
    <w:uiPriority w:val="34"/>
    <w:rsid w:val="00D370C5"/>
    <w:rPr>
      <w:sz w:val="16"/>
    </w:rPr>
  </w:style>
  <w:style w:type="paragraph" w:customStyle="1" w:styleId="SmallChartTableTitleArial">
    <w:name w:val="Small Chart Table Title Arial"/>
    <w:basedOn w:val="ChartTableTitleArial"/>
    <w:uiPriority w:val="34"/>
    <w:rsid w:val="00D370C5"/>
    <w:rPr>
      <w:sz w:val="16"/>
    </w:rPr>
  </w:style>
  <w:style w:type="paragraph" w:customStyle="1" w:styleId="SmallChartTableTitleCenter">
    <w:name w:val="Small Chart Table Title Center"/>
    <w:basedOn w:val="ChartTableTitleCenter"/>
    <w:uiPriority w:val="34"/>
    <w:rsid w:val="00D370C5"/>
    <w:rPr>
      <w:sz w:val="16"/>
    </w:rPr>
  </w:style>
  <w:style w:type="paragraph" w:customStyle="1" w:styleId="SmallChartTableTitleCenterArial">
    <w:name w:val="Small Chart Table Title Center Arial"/>
    <w:basedOn w:val="ChartTableTitleCenterArial"/>
    <w:uiPriority w:val="34"/>
    <w:rsid w:val="00D370C5"/>
    <w:rPr>
      <w:sz w:val="16"/>
    </w:rPr>
  </w:style>
  <w:style w:type="paragraph" w:customStyle="1" w:styleId="SmallChartTableTitleRight">
    <w:name w:val="Small Chart Table Title Right"/>
    <w:basedOn w:val="ChartTableTitleRight"/>
    <w:uiPriority w:val="34"/>
    <w:rsid w:val="00D370C5"/>
    <w:rPr>
      <w:sz w:val="16"/>
    </w:rPr>
  </w:style>
  <w:style w:type="paragraph" w:customStyle="1" w:styleId="SmallChartTableTitleRightArial">
    <w:name w:val="Small Chart Table Title Right Arial"/>
    <w:basedOn w:val="ChartTableTitleRightArial"/>
    <w:uiPriority w:val="34"/>
    <w:rsid w:val="00D370C5"/>
    <w:rPr>
      <w:sz w:val="16"/>
    </w:rPr>
  </w:style>
  <w:style w:type="paragraph" w:customStyle="1" w:styleId="SmallChartTableTitleSimple">
    <w:name w:val="Small Chart Table Title Simple"/>
    <w:basedOn w:val="ChartTableTitleSimple"/>
    <w:uiPriority w:val="34"/>
    <w:rsid w:val="00D370C5"/>
    <w:rPr>
      <w:sz w:val="16"/>
    </w:rPr>
  </w:style>
  <w:style w:type="paragraph" w:customStyle="1" w:styleId="SmallChartTableTitleSimpleArial">
    <w:name w:val="Small Chart Table Title Simple Arial"/>
    <w:basedOn w:val="ChartTableTitleSimpleArial"/>
    <w:uiPriority w:val="34"/>
    <w:rsid w:val="00D370C5"/>
    <w:rPr>
      <w:sz w:val="16"/>
    </w:rPr>
  </w:style>
  <w:style w:type="paragraph" w:customStyle="1" w:styleId="SmallChartTableTitleSimpleR">
    <w:name w:val="Small Chart Table Title Simple R"/>
    <w:basedOn w:val="SmallChartTableTitleSimple"/>
    <w:uiPriority w:val="34"/>
    <w:rsid w:val="00D370C5"/>
    <w:pPr>
      <w:jc w:val="right"/>
    </w:pPr>
  </w:style>
  <w:style w:type="paragraph" w:customStyle="1" w:styleId="SmallChartTableTitleSimpleRA">
    <w:name w:val="Small Chart Table Title Simple R A"/>
    <w:basedOn w:val="SmallChartTableTitleSimpleR"/>
    <w:uiPriority w:val="34"/>
    <w:rsid w:val="00D370C5"/>
    <w:rPr>
      <w:rFonts w:ascii="Arial" w:hAnsi="Arial"/>
    </w:rPr>
  </w:style>
  <w:style w:type="paragraph" w:customStyle="1" w:styleId="SmallChartText">
    <w:name w:val="Small Chart Text"/>
    <w:basedOn w:val="ChartText"/>
    <w:uiPriority w:val="34"/>
    <w:rsid w:val="00D370C5"/>
    <w:rPr>
      <w:sz w:val="16"/>
    </w:rPr>
  </w:style>
  <w:style w:type="paragraph" w:customStyle="1" w:styleId="SmallChartTextArial">
    <w:name w:val="Small Chart Text Arial"/>
    <w:basedOn w:val="ChartTextArial"/>
    <w:uiPriority w:val="34"/>
    <w:rsid w:val="00D370C5"/>
    <w:rPr>
      <w:sz w:val="16"/>
      <w:lang w:val="en-US"/>
    </w:rPr>
  </w:style>
  <w:style w:type="paragraph" w:customStyle="1" w:styleId="SmallChartTextCenter">
    <w:name w:val="Small Chart Text Center"/>
    <w:basedOn w:val="ChartTextCenter"/>
    <w:uiPriority w:val="34"/>
    <w:rsid w:val="00D370C5"/>
    <w:rPr>
      <w:sz w:val="16"/>
    </w:rPr>
  </w:style>
  <w:style w:type="paragraph" w:customStyle="1" w:styleId="SmallChartTextCenterArial">
    <w:name w:val="Small Chart Text Center Arial"/>
    <w:basedOn w:val="ChartTextCenterArial"/>
    <w:uiPriority w:val="34"/>
    <w:rsid w:val="00D370C5"/>
    <w:rPr>
      <w:sz w:val="16"/>
    </w:rPr>
  </w:style>
  <w:style w:type="paragraph" w:customStyle="1" w:styleId="SmallChartTextRight">
    <w:name w:val="Small Chart Text Right"/>
    <w:basedOn w:val="ChartTextRight"/>
    <w:uiPriority w:val="34"/>
    <w:rsid w:val="00D370C5"/>
    <w:rPr>
      <w:sz w:val="16"/>
    </w:rPr>
  </w:style>
  <w:style w:type="paragraph" w:customStyle="1" w:styleId="SmallChartTextRightArial">
    <w:name w:val="Small Chart Text Right Arial"/>
    <w:basedOn w:val="ChartTextRightArial"/>
    <w:uiPriority w:val="34"/>
    <w:rsid w:val="00D370C5"/>
    <w:rPr>
      <w:sz w:val="16"/>
    </w:rPr>
  </w:style>
  <w:style w:type="paragraph" w:customStyle="1" w:styleId="SmallListBullet">
    <w:name w:val="Small List Bullet"/>
    <w:basedOn w:val="ListBullet"/>
    <w:link w:val="SmallListBulletChar"/>
    <w:uiPriority w:val="34"/>
    <w:rsid w:val="00BA38A3"/>
    <w:pPr>
      <w:numPr>
        <w:numId w:val="17"/>
      </w:numPr>
    </w:pPr>
    <w:rPr>
      <w:sz w:val="16"/>
    </w:rPr>
  </w:style>
  <w:style w:type="paragraph" w:customStyle="1" w:styleId="SmallListBullet2">
    <w:name w:val="Small List Bullet 2"/>
    <w:basedOn w:val="ListBullet2"/>
    <w:uiPriority w:val="34"/>
    <w:rsid w:val="00BA38A3"/>
    <w:pPr>
      <w:numPr>
        <w:numId w:val="17"/>
      </w:numPr>
    </w:pPr>
    <w:rPr>
      <w:sz w:val="16"/>
    </w:rPr>
  </w:style>
  <w:style w:type="paragraph" w:customStyle="1" w:styleId="SmallListBullet3">
    <w:name w:val="Small List Bullet 3"/>
    <w:basedOn w:val="ListBullet3"/>
    <w:uiPriority w:val="34"/>
    <w:rsid w:val="00BA38A3"/>
    <w:pPr>
      <w:numPr>
        <w:numId w:val="17"/>
      </w:numPr>
    </w:pPr>
    <w:rPr>
      <w:sz w:val="16"/>
    </w:rPr>
  </w:style>
  <w:style w:type="paragraph" w:customStyle="1" w:styleId="Spacing119mm">
    <w:name w:val="Spacing 11_9 mm"/>
    <w:basedOn w:val="Normal"/>
    <w:next w:val="BodyText"/>
    <w:uiPriority w:val="34"/>
    <w:rsid w:val="00D370C5"/>
    <w:pPr>
      <w:spacing w:after="0" w:line="680" w:lineRule="exact"/>
    </w:pPr>
    <w:rPr>
      <w:rFonts w:ascii="Arial" w:hAnsi="Arial" w:cs="Arial"/>
      <w:sz w:val="14"/>
    </w:rPr>
  </w:style>
  <w:style w:type="paragraph" w:customStyle="1" w:styleId="StandardText">
    <w:name w:val="Standard Text"/>
    <w:basedOn w:val="Normal"/>
    <w:uiPriority w:val="34"/>
    <w:rsid w:val="00E03646"/>
  </w:style>
  <w:style w:type="paragraph" w:customStyle="1" w:styleId="ListNSBullet">
    <w:name w:val="List NS Bullet"/>
    <w:basedOn w:val="Normal"/>
    <w:link w:val="ListNSBulletChar"/>
    <w:rsid w:val="006432E9"/>
    <w:pPr>
      <w:numPr>
        <w:numId w:val="15"/>
      </w:numPr>
      <w:spacing w:after="0"/>
      <w:contextualSpacing/>
    </w:pPr>
  </w:style>
  <w:style w:type="character" w:customStyle="1" w:styleId="ListBulletChar">
    <w:name w:val="List Bullet Char"/>
    <w:basedOn w:val="DefaultParagraphFont"/>
    <w:link w:val="ListBullet"/>
    <w:uiPriority w:val="13"/>
    <w:rsid w:val="006432E9"/>
  </w:style>
  <w:style w:type="character" w:customStyle="1" w:styleId="SmallListBulletChar">
    <w:name w:val="Small List Bullet Char"/>
    <w:basedOn w:val="ListBulletChar"/>
    <w:link w:val="SmallListBullet"/>
    <w:uiPriority w:val="34"/>
    <w:rsid w:val="006432E9"/>
    <w:rPr>
      <w:sz w:val="16"/>
    </w:rPr>
  </w:style>
  <w:style w:type="character" w:customStyle="1" w:styleId="ListNSBulletChar">
    <w:name w:val="List NS Bullet Char"/>
    <w:basedOn w:val="SmallListBulletChar"/>
    <w:link w:val="ListNSBullet"/>
    <w:rsid w:val="006432E9"/>
    <w:rPr>
      <w:sz w:val="16"/>
    </w:rPr>
  </w:style>
  <w:style w:type="paragraph" w:customStyle="1" w:styleId="ListNSBullet2">
    <w:name w:val="List NS Bullet 2"/>
    <w:basedOn w:val="Normal"/>
    <w:link w:val="ListNSBullet2Char"/>
    <w:rsid w:val="006432E9"/>
    <w:pPr>
      <w:numPr>
        <w:ilvl w:val="1"/>
        <w:numId w:val="15"/>
      </w:numPr>
      <w:spacing w:after="0"/>
      <w:contextualSpacing/>
    </w:pPr>
  </w:style>
  <w:style w:type="character" w:customStyle="1" w:styleId="ListNSBullet2Char">
    <w:name w:val="List NS Bullet 2 Char"/>
    <w:basedOn w:val="SmallListBulletChar"/>
    <w:link w:val="ListNSBullet2"/>
    <w:rsid w:val="006432E9"/>
    <w:rPr>
      <w:sz w:val="16"/>
    </w:rPr>
  </w:style>
  <w:style w:type="paragraph" w:customStyle="1" w:styleId="ListNSBullet3">
    <w:name w:val="List NS Bullet 3"/>
    <w:basedOn w:val="Normal"/>
    <w:link w:val="ListNSBullet3Char"/>
    <w:rsid w:val="006432E9"/>
    <w:pPr>
      <w:numPr>
        <w:ilvl w:val="2"/>
        <w:numId w:val="15"/>
      </w:numPr>
      <w:spacing w:after="0"/>
      <w:contextualSpacing/>
    </w:pPr>
  </w:style>
  <w:style w:type="character" w:customStyle="1" w:styleId="ListNSBullet3Char">
    <w:name w:val="List NS Bullet 3 Char"/>
    <w:basedOn w:val="SmallListBulletChar"/>
    <w:link w:val="ListNSBullet3"/>
    <w:rsid w:val="006432E9"/>
    <w:rPr>
      <w:sz w:val="16"/>
    </w:rPr>
  </w:style>
  <w:style w:type="paragraph" w:customStyle="1" w:styleId="ListNSBullet4">
    <w:name w:val="List NS Bullet 4"/>
    <w:basedOn w:val="Normal"/>
    <w:link w:val="ListNSBullet4Char"/>
    <w:rsid w:val="006432E9"/>
    <w:pPr>
      <w:numPr>
        <w:ilvl w:val="3"/>
        <w:numId w:val="15"/>
      </w:numPr>
      <w:spacing w:after="0"/>
      <w:contextualSpacing/>
    </w:pPr>
  </w:style>
  <w:style w:type="character" w:customStyle="1" w:styleId="ListNSBullet4Char">
    <w:name w:val="List NS Bullet 4 Char"/>
    <w:basedOn w:val="SmallListBulletChar"/>
    <w:link w:val="ListNSBullet4"/>
    <w:rsid w:val="006432E9"/>
    <w:rPr>
      <w:sz w:val="16"/>
    </w:rPr>
  </w:style>
  <w:style w:type="paragraph" w:customStyle="1" w:styleId="ListNSBullet5">
    <w:name w:val="List NS Bullet 5"/>
    <w:basedOn w:val="Normal"/>
    <w:link w:val="ListNSBullet5Char"/>
    <w:rsid w:val="006432E9"/>
    <w:pPr>
      <w:numPr>
        <w:ilvl w:val="4"/>
        <w:numId w:val="15"/>
      </w:numPr>
      <w:spacing w:after="0"/>
      <w:contextualSpacing/>
    </w:pPr>
  </w:style>
  <w:style w:type="character" w:customStyle="1" w:styleId="ListNSBullet5Char">
    <w:name w:val="List NS Bullet 5 Char"/>
    <w:basedOn w:val="SmallListBulletChar"/>
    <w:link w:val="ListNSBullet5"/>
    <w:rsid w:val="006432E9"/>
    <w:rPr>
      <w:sz w:val="16"/>
    </w:rPr>
  </w:style>
  <w:style w:type="paragraph" w:customStyle="1" w:styleId="ListNSNumber">
    <w:name w:val="List NS Number"/>
    <w:basedOn w:val="Normal"/>
    <w:link w:val="ListNSNumberChar"/>
    <w:rsid w:val="006432E9"/>
    <w:pPr>
      <w:numPr>
        <w:numId w:val="18"/>
      </w:numPr>
      <w:spacing w:after="0"/>
      <w:contextualSpacing/>
    </w:pPr>
  </w:style>
  <w:style w:type="character" w:customStyle="1" w:styleId="ListNSNumberChar">
    <w:name w:val="List NS Number Char"/>
    <w:basedOn w:val="SmallListBulletChar"/>
    <w:link w:val="ListNSNumber"/>
    <w:rsid w:val="006432E9"/>
    <w:rPr>
      <w:sz w:val="16"/>
    </w:rPr>
  </w:style>
  <w:style w:type="paragraph" w:customStyle="1" w:styleId="ListNSNumber2">
    <w:name w:val="List NS Number 2"/>
    <w:basedOn w:val="Normal"/>
    <w:link w:val="ListNSNumber2Char"/>
    <w:rsid w:val="006432E9"/>
    <w:pPr>
      <w:numPr>
        <w:ilvl w:val="1"/>
        <w:numId w:val="18"/>
      </w:numPr>
      <w:spacing w:after="0"/>
      <w:contextualSpacing/>
    </w:pPr>
  </w:style>
  <w:style w:type="character" w:customStyle="1" w:styleId="ListNSNumber2Char">
    <w:name w:val="List NS Number 2 Char"/>
    <w:basedOn w:val="SmallListBulletChar"/>
    <w:link w:val="ListNSNumber2"/>
    <w:rsid w:val="006432E9"/>
    <w:rPr>
      <w:sz w:val="16"/>
    </w:rPr>
  </w:style>
  <w:style w:type="paragraph" w:customStyle="1" w:styleId="ListNSNumber3">
    <w:name w:val="List NS Number 3"/>
    <w:basedOn w:val="Normal"/>
    <w:link w:val="ListNSNumber3Char"/>
    <w:rsid w:val="006432E9"/>
    <w:pPr>
      <w:numPr>
        <w:ilvl w:val="2"/>
        <w:numId w:val="18"/>
      </w:numPr>
      <w:spacing w:after="0"/>
      <w:contextualSpacing/>
    </w:pPr>
  </w:style>
  <w:style w:type="character" w:customStyle="1" w:styleId="ListNSNumber3Char">
    <w:name w:val="List NS Number 3 Char"/>
    <w:basedOn w:val="SmallListBulletChar"/>
    <w:link w:val="ListNSNumber3"/>
    <w:rsid w:val="006432E9"/>
    <w:rPr>
      <w:sz w:val="16"/>
    </w:rPr>
  </w:style>
  <w:style w:type="paragraph" w:customStyle="1" w:styleId="ListNSNumber4">
    <w:name w:val="List NS Number 4"/>
    <w:basedOn w:val="Normal"/>
    <w:link w:val="ListNSNumber4Char"/>
    <w:rsid w:val="006432E9"/>
    <w:pPr>
      <w:numPr>
        <w:ilvl w:val="3"/>
        <w:numId w:val="18"/>
      </w:numPr>
      <w:spacing w:after="0"/>
      <w:contextualSpacing/>
    </w:pPr>
  </w:style>
  <w:style w:type="character" w:customStyle="1" w:styleId="ListNSNumber4Char">
    <w:name w:val="List NS Number 4 Char"/>
    <w:basedOn w:val="SmallListBulletChar"/>
    <w:link w:val="ListNSNumber4"/>
    <w:rsid w:val="006432E9"/>
    <w:rPr>
      <w:sz w:val="16"/>
    </w:rPr>
  </w:style>
  <w:style w:type="paragraph" w:customStyle="1" w:styleId="ListNSNumber5">
    <w:name w:val="List NS Number 5"/>
    <w:basedOn w:val="Normal"/>
    <w:link w:val="ListNSNumber5Char"/>
    <w:rsid w:val="006432E9"/>
    <w:pPr>
      <w:numPr>
        <w:ilvl w:val="4"/>
        <w:numId w:val="18"/>
      </w:numPr>
      <w:spacing w:after="0"/>
      <w:contextualSpacing/>
    </w:pPr>
  </w:style>
  <w:style w:type="character" w:customStyle="1" w:styleId="ListNSNumber5Char">
    <w:name w:val="List NS Number 5 Char"/>
    <w:basedOn w:val="SmallListBulletChar"/>
    <w:link w:val="ListNSNumber5"/>
    <w:rsid w:val="006432E9"/>
    <w:rPr>
      <w:sz w:val="16"/>
    </w:rPr>
  </w:style>
  <w:style w:type="paragraph" w:customStyle="1" w:styleId="ListSpaceBullet">
    <w:name w:val="List Space Bullet"/>
    <w:basedOn w:val="Normal"/>
    <w:link w:val="ListSpaceBulletChar"/>
    <w:rsid w:val="006432E9"/>
    <w:pPr>
      <w:numPr>
        <w:numId w:val="16"/>
      </w:numPr>
    </w:pPr>
  </w:style>
  <w:style w:type="character" w:customStyle="1" w:styleId="ListSpaceBulletChar">
    <w:name w:val="List Space Bullet Char"/>
    <w:basedOn w:val="SmallListBulletChar"/>
    <w:link w:val="ListSpaceBullet"/>
    <w:rsid w:val="006432E9"/>
    <w:rPr>
      <w:sz w:val="16"/>
    </w:rPr>
  </w:style>
  <w:style w:type="paragraph" w:customStyle="1" w:styleId="ListSpaceBullet2">
    <w:name w:val="List Space Bullet 2"/>
    <w:basedOn w:val="Normal"/>
    <w:link w:val="ListSpaceBullet2Char"/>
    <w:rsid w:val="006432E9"/>
    <w:pPr>
      <w:numPr>
        <w:ilvl w:val="1"/>
        <w:numId w:val="16"/>
      </w:numPr>
    </w:pPr>
  </w:style>
  <w:style w:type="character" w:customStyle="1" w:styleId="ListSpaceBullet2Char">
    <w:name w:val="List Space Bullet 2 Char"/>
    <w:basedOn w:val="SmallListBulletChar"/>
    <w:link w:val="ListSpaceBullet2"/>
    <w:rsid w:val="006432E9"/>
    <w:rPr>
      <w:sz w:val="16"/>
    </w:rPr>
  </w:style>
  <w:style w:type="paragraph" w:customStyle="1" w:styleId="ListSpaceBullet3">
    <w:name w:val="List Space Bullet 3"/>
    <w:basedOn w:val="Normal"/>
    <w:link w:val="ListSpaceBullet3Char"/>
    <w:rsid w:val="006432E9"/>
    <w:pPr>
      <w:numPr>
        <w:ilvl w:val="2"/>
        <w:numId w:val="16"/>
      </w:numPr>
    </w:pPr>
  </w:style>
  <w:style w:type="character" w:customStyle="1" w:styleId="ListSpaceBullet3Char">
    <w:name w:val="List Space Bullet 3 Char"/>
    <w:basedOn w:val="SmallListBulletChar"/>
    <w:link w:val="ListSpaceBullet3"/>
    <w:rsid w:val="006432E9"/>
    <w:rPr>
      <w:sz w:val="16"/>
    </w:rPr>
  </w:style>
  <w:style w:type="paragraph" w:customStyle="1" w:styleId="ListSpaceBullet4">
    <w:name w:val="List Space Bullet 4"/>
    <w:basedOn w:val="Normal"/>
    <w:link w:val="ListSpaceBullet4Char"/>
    <w:rsid w:val="006432E9"/>
    <w:pPr>
      <w:numPr>
        <w:ilvl w:val="3"/>
        <w:numId w:val="16"/>
      </w:numPr>
    </w:pPr>
  </w:style>
  <w:style w:type="character" w:customStyle="1" w:styleId="ListSpaceBullet4Char">
    <w:name w:val="List Space Bullet 4 Char"/>
    <w:basedOn w:val="SmallListBulletChar"/>
    <w:link w:val="ListSpaceBullet4"/>
    <w:rsid w:val="006432E9"/>
    <w:rPr>
      <w:sz w:val="16"/>
    </w:rPr>
  </w:style>
  <w:style w:type="paragraph" w:customStyle="1" w:styleId="ListSpaceBullet5">
    <w:name w:val="List Space Bullet 5"/>
    <w:basedOn w:val="Normal"/>
    <w:link w:val="ListSpaceBullet5Char"/>
    <w:rsid w:val="006432E9"/>
    <w:pPr>
      <w:numPr>
        <w:ilvl w:val="4"/>
        <w:numId w:val="16"/>
      </w:numPr>
    </w:pPr>
  </w:style>
  <w:style w:type="character" w:customStyle="1" w:styleId="ListSpaceBullet5Char">
    <w:name w:val="List Space Bullet 5 Char"/>
    <w:basedOn w:val="SmallListBulletChar"/>
    <w:link w:val="ListSpaceBullet5"/>
    <w:rsid w:val="006432E9"/>
    <w:rPr>
      <w:sz w:val="16"/>
    </w:rPr>
  </w:style>
  <w:style w:type="paragraph" w:customStyle="1" w:styleId="ListSpaceNumber">
    <w:name w:val="List Space Number"/>
    <w:basedOn w:val="Normal"/>
    <w:link w:val="ListSpaceNumberChar"/>
    <w:rsid w:val="006432E9"/>
    <w:pPr>
      <w:numPr>
        <w:numId w:val="19"/>
      </w:numPr>
    </w:pPr>
  </w:style>
  <w:style w:type="character" w:customStyle="1" w:styleId="ListSpaceNumberChar">
    <w:name w:val="List Space Number Char"/>
    <w:basedOn w:val="SmallListBulletChar"/>
    <w:link w:val="ListSpaceNumber"/>
    <w:rsid w:val="006432E9"/>
    <w:rPr>
      <w:sz w:val="16"/>
    </w:rPr>
  </w:style>
  <w:style w:type="paragraph" w:customStyle="1" w:styleId="ListSpaceNumber2">
    <w:name w:val="List Space Number 2"/>
    <w:basedOn w:val="Normal"/>
    <w:link w:val="ListSpaceNumber2Char"/>
    <w:rsid w:val="006432E9"/>
    <w:pPr>
      <w:numPr>
        <w:ilvl w:val="1"/>
        <w:numId w:val="19"/>
      </w:numPr>
    </w:pPr>
  </w:style>
  <w:style w:type="character" w:customStyle="1" w:styleId="ListSpaceNumber2Char">
    <w:name w:val="List Space Number 2 Char"/>
    <w:basedOn w:val="SmallListBulletChar"/>
    <w:link w:val="ListSpaceNumber2"/>
    <w:rsid w:val="006432E9"/>
    <w:rPr>
      <w:sz w:val="16"/>
    </w:rPr>
  </w:style>
  <w:style w:type="paragraph" w:customStyle="1" w:styleId="ListSpaceNumber3">
    <w:name w:val="List Space Number 3"/>
    <w:basedOn w:val="Normal"/>
    <w:link w:val="ListSpaceNumber3Char"/>
    <w:rsid w:val="006432E9"/>
    <w:pPr>
      <w:numPr>
        <w:ilvl w:val="2"/>
        <w:numId w:val="19"/>
      </w:numPr>
    </w:pPr>
  </w:style>
  <w:style w:type="character" w:customStyle="1" w:styleId="ListSpaceNumber3Char">
    <w:name w:val="List Space Number 3 Char"/>
    <w:basedOn w:val="SmallListBulletChar"/>
    <w:link w:val="ListSpaceNumber3"/>
    <w:rsid w:val="006432E9"/>
    <w:rPr>
      <w:sz w:val="16"/>
    </w:rPr>
  </w:style>
  <w:style w:type="paragraph" w:customStyle="1" w:styleId="ListSpaceNumber4">
    <w:name w:val="List Space Number 4"/>
    <w:basedOn w:val="Normal"/>
    <w:link w:val="ListSpaceNumber4Char"/>
    <w:rsid w:val="006432E9"/>
    <w:pPr>
      <w:numPr>
        <w:ilvl w:val="3"/>
        <w:numId w:val="19"/>
      </w:numPr>
    </w:pPr>
  </w:style>
  <w:style w:type="character" w:customStyle="1" w:styleId="ListSpaceNumber4Char">
    <w:name w:val="List Space Number 4 Char"/>
    <w:basedOn w:val="SmallListBulletChar"/>
    <w:link w:val="ListSpaceNumber4"/>
    <w:rsid w:val="006432E9"/>
    <w:rPr>
      <w:sz w:val="16"/>
    </w:rPr>
  </w:style>
  <w:style w:type="paragraph" w:customStyle="1" w:styleId="ListSpaceNumber5">
    <w:name w:val="List Space Number 5"/>
    <w:basedOn w:val="Normal"/>
    <w:link w:val="ListSpaceNumber5Char"/>
    <w:rsid w:val="006432E9"/>
    <w:pPr>
      <w:numPr>
        <w:ilvl w:val="4"/>
        <w:numId w:val="19"/>
      </w:numPr>
    </w:pPr>
  </w:style>
  <w:style w:type="character" w:customStyle="1" w:styleId="ListSpaceNumber5Char">
    <w:name w:val="List Space Number 5 Char"/>
    <w:basedOn w:val="SmallListBulletChar"/>
    <w:link w:val="ListSpaceNumber5"/>
    <w:rsid w:val="006432E9"/>
    <w:rPr>
      <w:sz w:val="16"/>
    </w:rPr>
  </w:style>
  <w:style w:type="paragraph" w:customStyle="1" w:styleId="ListNSContinue">
    <w:name w:val="List NS Continue"/>
    <w:basedOn w:val="StandardText"/>
    <w:next w:val="ListContinue"/>
    <w:link w:val="ListNSContinueChar"/>
    <w:rsid w:val="006432E9"/>
    <w:pPr>
      <w:spacing w:after="0"/>
      <w:ind w:left="567"/>
      <w:contextualSpacing/>
    </w:pPr>
  </w:style>
  <w:style w:type="character" w:customStyle="1" w:styleId="ListNSContinueChar">
    <w:name w:val="List NS Continue Char"/>
    <w:basedOn w:val="SmallListBulletChar"/>
    <w:link w:val="ListNSContinue"/>
    <w:rsid w:val="006432E9"/>
    <w:rPr>
      <w:sz w:val="16"/>
    </w:rPr>
  </w:style>
  <w:style w:type="paragraph" w:customStyle="1" w:styleId="ListNSContinue2">
    <w:name w:val="List NS Continue 2"/>
    <w:basedOn w:val="StandardText"/>
    <w:next w:val="ListContinue2"/>
    <w:link w:val="ListNSContinue2Char"/>
    <w:rsid w:val="006432E9"/>
    <w:pPr>
      <w:spacing w:after="0"/>
      <w:ind w:left="1134"/>
      <w:contextualSpacing/>
    </w:pPr>
  </w:style>
  <w:style w:type="character" w:customStyle="1" w:styleId="ListNSContinue2Char">
    <w:name w:val="List NS Continue 2 Char"/>
    <w:basedOn w:val="SmallListBulletChar"/>
    <w:link w:val="ListNSContinue2"/>
    <w:rsid w:val="006432E9"/>
    <w:rPr>
      <w:sz w:val="16"/>
    </w:rPr>
  </w:style>
  <w:style w:type="paragraph" w:customStyle="1" w:styleId="ListNSContinue3">
    <w:name w:val="List NS Continue 3"/>
    <w:basedOn w:val="StandardText"/>
    <w:next w:val="ListContinue3"/>
    <w:link w:val="ListNSContinue3Char"/>
    <w:rsid w:val="006432E9"/>
    <w:pPr>
      <w:spacing w:after="0"/>
      <w:ind w:left="1701"/>
      <w:contextualSpacing/>
    </w:pPr>
  </w:style>
  <w:style w:type="character" w:customStyle="1" w:styleId="ListNSContinue3Char">
    <w:name w:val="List NS Continue 3 Char"/>
    <w:basedOn w:val="SmallListBulletChar"/>
    <w:link w:val="ListNSContinue3"/>
    <w:rsid w:val="006432E9"/>
    <w:rPr>
      <w:sz w:val="16"/>
    </w:rPr>
  </w:style>
  <w:style w:type="paragraph" w:customStyle="1" w:styleId="ListNSContinue4">
    <w:name w:val="List NS Continue 4"/>
    <w:basedOn w:val="StandardText"/>
    <w:next w:val="ListContinue4"/>
    <w:link w:val="ListNSContinue4Char"/>
    <w:rsid w:val="006432E9"/>
    <w:pPr>
      <w:spacing w:after="0"/>
      <w:ind w:left="2268"/>
      <w:contextualSpacing/>
    </w:pPr>
  </w:style>
  <w:style w:type="character" w:customStyle="1" w:styleId="ListNSContinue4Char">
    <w:name w:val="List NS Continue 4 Char"/>
    <w:basedOn w:val="SmallListBulletChar"/>
    <w:link w:val="ListNSContinue4"/>
    <w:rsid w:val="006432E9"/>
    <w:rPr>
      <w:sz w:val="16"/>
    </w:rPr>
  </w:style>
  <w:style w:type="paragraph" w:customStyle="1" w:styleId="ListNSContinue5">
    <w:name w:val="List NS Continue 5"/>
    <w:basedOn w:val="StandardText"/>
    <w:next w:val="ListContinue5"/>
    <w:link w:val="ListNSContinue5Char"/>
    <w:rsid w:val="006432E9"/>
    <w:pPr>
      <w:spacing w:after="0"/>
      <w:ind w:left="2835"/>
      <w:contextualSpacing/>
    </w:pPr>
  </w:style>
  <w:style w:type="character" w:customStyle="1" w:styleId="ListNSContinue5Char">
    <w:name w:val="List NS Continue 5 Char"/>
    <w:basedOn w:val="SmallListBulletChar"/>
    <w:link w:val="ListNSContinue5"/>
    <w:rsid w:val="006432E9"/>
    <w:rPr>
      <w:sz w:val="16"/>
    </w:rPr>
  </w:style>
  <w:style w:type="paragraph" w:customStyle="1" w:styleId="ListSpaceContinue">
    <w:name w:val="List Space Continue"/>
    <w:basedOn w:val="StandardText"/>
    <w:next w:val="ListContinue"/>
    <w:link w:val="ListSpaceContinueChar"/>
    <w:rsid w:val="006432E9"/>
    <w:pPr>
      <w:ind w:left="567"/>
      <w:contextualSpacing/>
    </w:pPr>
  </w:style>
  <w:style w:type="character" w:customStyle="1" w:styleId="ListSpaceContinueChar">
    <w:name w:val="List Space Continue Char"/>
    <w:basedOn w:val="SmallListBulletChar"/>
    <w:link w:val="ListSpaceContinue"/>
    <w:rsid w:val="006432E9"/>
    <w:rPr>
      <w:sz w:val="16"/>
    </w:rPr>
  </w:style>
  <w:style w:type="paragraph" w:customStyle="1" w:styleId="ListSpaceContinue2">
    <w:name w:val="List Space Continue 2"/>
    <w:basedOn w:val="StandardText"/>
    <w:next w:val="ListContinue2"/>
    <w:link w:val="ListSpaceContinue2Char"/>
    <w:rsid w:val="006432E9"/>
    <w:pPr>
      <w:ind w:left="1134"/>
    </w:pPr>
  </w:style>
  <w:style w:type="character" w:customStyle="1" w:styleId="ListSpaceContinue2Char">
    <w:name w:val="List Space Continue 2 Char"/>
    <w:basedOn w:val="SmallListBulletChar"/>
    <w:link w:val="ListSpaceContinue2"/>
    <w:rsid w:val="006432E9"/>
    <w:rPr>
      <w:sz w:val="16"/>
    </w:rPr>
  </w:style>
  <w:style w:type="paragraph" w:customStyle="1" w:styleId="ListSpaceContinue3">
    <w:name w:val="List Space Continue 3"/>
    <w:basedOn w:val="StandardText"/>
    <w:next w:val="ListContinue3"/>
    <w:link w:val="ListSpaceContinue3Char"/>
    <w:rsid w:val="006432E9"/>
    <w:pPr>
      <w:ind w:left="1701"/>
    </w:pPr>
  </w:style>
  <w:style w:type="character" w:customStyle="1" w:styleId="ListSpaceContinue3Char">
    <w:name w:val="List Space Continue 3 Char"/>
    <w:basedOn w:val="SmallListBulletChar"/>
    <w:link w:val="ListSpaceContinue3"/>
    <w:rsid w:val="006432E9"/>
    <w:rPr>
      <w:sz w:val="16"/>
    </w:rPr>
  </w:style>
  <w:style w:type="paragraph" w:customStyle="1" w:styleId="ListSpaceContinue4">
    <w:name w:val="List Space Continue 4"/>
    <w:basedOn w:val="StandardText"/>
    <w:next w:val="ListContinue4"/>
    <w:link w:val="ListSpaceContinue4Char"/>
    <w:rsid w:val="006432E9"/>
    <w:pPr>
      <w:ind w:left="2268"/>
    </w:pPr>
  </w:style>
  <w:style w:type="character" w:customStyle="1" w:styleId="ListSpaceContinue4Char">
    <w:name w:val="List Space Continue 4 Char"/>
    <w:basedOn w:val="SmallListBulletChar"/>
    <w:link w:val="ListSpaceContinue4"/>
    <w:rsid w:val="006432E9"/>
    <w:rPr>
      <w:sz w:val="16"/>
    </w:rPr>
  </w:style>
  <w:style w:type="paragraph" w:customStyle="1" w:styleId="ListSpaceContinue5">
    <w:name w:val="List Space Continue 5"/>
    <w:basedOn w:val="StandardText"/>
    <w:next w:val="ListContinue5"/>
    <w:link w:val="ListSpaceContinue5Char"/>
    <w:rsid w:val="006432E9"/>
    <w:pPr>
      <w:ind w:left="2835"/>
    </w:pPr>
  </w:style>
  <w:style w:type="character" w:customStyle="1" w:styleId="ListSpaceContinue5Char">
    <w:name w:val="List Space Continue 5 Char"/>
    <w:basedOn w:val="SmallListBulletChar"/>
    <w:link w:val="ListSpaceContinue5"/>
    <w:rsid w:val="006432E9"/>
    <w:rPr>
      <w:sz w:val="16"/>
    </w:rPr>
  </w:style>
  <w:style w:type="character" w:styleId="UnresolvedMention">
    <w:name w:val="Unresolved Mention"/>
    <w:basedOn w:val="DefaultParagraphFont"/>
    <w:uiPriority w:val="99"/>
    <w:semiHidden/>
    <w:unhideWhenUsed/>
    <w:rsid w:val="004837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uitspraken.rechtspraak.nl/inziendocument?id=ECLI:NL:GHAMS:2021:2744&amp;showbutton=true&amp;keyword=19%2f0123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PwC\Create\PwCStationeryLetter.dotx" TargetMode="External"/></Relationships>
</file>

<file path=word/theme/theme1.xml><?xml version="1.0" encoding="utf-8"?>
<a:theme xmlns:a="http://schemas.openxmlformats.org/drawingml/2006/main" name="Rebranding">
  <a:themeElements>
    <a:clrScheme name="PwC Orange">
      <a:dk1>
        <a:srgbClr val="000000"/>
      </a:dk1>
      <a:lt1>
        <a:srgbClr val="FFFFFF"/>
      </a:lt1>
      <a:dk2>
        <a:srgbClr val="DC6900"/>
      </a:dk2>
      <a:lt2>
        <a:srgbClr val="FFFFFF"/>
      </a:lt2>
      <a:accent1>
        <a:srgbClr val="DC6900"/>
      </a:accent1>
      <a:accent2>
        <a:srgbClr val="FFB600"/>
      </a:accent2>
      <a:accent3>
        <a:srgbClr val="602320"/>
      </a:accent3>
      <a:accent4>
        <a:srgbClr val="E27588"/>
      </a:accent4>
      <a:accent5>
        <a:srgbClr val="A32020"/>
      </a:accent5>
      <a:accent6>
        <a:srgbClr val="E0301E"/>
      </a:accent6>
      <a:hlink>
        <a:srgbClr val="0000FF"/>
      </a:hlink>
      <a:folHlink>
        <a:srgbClr val="0000FF"/>
      </a:folHlink>
    </a:clrScheme>
    <a:fontScheme name="PwC">
      <a:majorFont>
        <a:latin typeface="Georgia"/>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bwMode="ltGray">
        <a:solidFill>
          <a:schemeClr val="tx2"/>
        </a:solidFill>
        <a:ln w="3175"/>
      </a:spPr>
      <a:bodyPr rtlCol="0" anchor="ctr"/>
      <a:lstStyle>
        <a:defPPr algn="ctr">
          <a:defRPr dirty="0" err="1" smtClean="0">
            <a:solidFill>
              <a:schemeClr val="bg1"/>
            </a:solidFill>
            <a:latin typeface="Georgia" pitchFamily="18" charset="0"/>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noAutofit/>
      </a:bodyPr>
      <a:lstStyle>
        <a:defPPr indent="-274320">
          <a:spcAft>
            <a:spcPts val="900"/>
          </a:spcAft>
          <a:defRPr sz="2000" dirty="0" err="1" smtClean="0">
            <a:latin typeface="Georgia" pitchFamily="18" charset="0"/>
          </a:defRPr>
        </a:defP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9AA698-0223-4F37-A53B-4CC61CAFF3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PwCStationeryLetter.dotx</Template>
  <TotalTime>2</TotalTime>
  <Pages>9</Pages>
  <Words>4007</Words>
  <Characters>22043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PricewaterhouseCoopers</Company>
  <LinksUpToDate>false</LinksUpToDate>
  <CharactersWithSpaces>25999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Gennep, Laura van</dc:creator>
  <cp:lastModifiedBy>Laura van Gennep (NL)</cp:lastModifiedBy>
  <cp:revision>3</cp:revision>
  <cp:lastPrinted>2010-10-12T07:45:00Z</cp:lastPrinted>
  <dcterms:created xsi:type="dcterms:W3CDTF">2022-03-04T10:47:00Z</dcterms:created>
  <dcterms:modified xsi:type="dcterms:W3CDTF">2022-03-04T10:48:00Z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NegativeNumbersBrackets">
    <vt:lpwstr>True</vt:lpwstr>
  </property>
  <property fmtid="{D5CDD505-2E9C-101B-9397-08002B2CF9AE}" pid="3" name="EuropeanNumberFormatting">
    <vt:lpwstr>False</vt:lpwstr>
  </property>
  <property fmtid="{D5CDD505-2E9C-101B-9397-08002B2CF9AE}" pid="4" name="NoDecimals">
    <vt:lpwstr>False</vt:lpwstr>
  </property>
  <property fmtid="{D5CDD505-2E9C-101B-9397-08002B2CF9AE}" pid="5" name="CurrencySymbol">
    <vt:lpwstr>€</vt:lpwstr>
  </property>
</Properties>
</file>